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F73E8" w14:textId="5199B4FD" w:rsidR="001A0E91" w:rsidRPr="006B1387" w:rsidRDefault="00E44E3C" w:rsidP="00A67C8A">
      <w:pPr>
        <w:jc w:val="both"/>
        <w:rPr>
          <w:b/>
          <w:bCs/>
        </w:rPr>
      </w:pPr>
      <w:r w:rsidRPr="004305C4">
        <w:rPr>
          <w:b/>
          <w:bCs/>
        </w:rPr>
        <w:t>Google v Oracle: Imp</w:t>
      </w:r>
      <w:r w:rsidR="000E2DC0">
        <w:rPr>
          <w:b/>
          <w:bCs/>
        </w:rPr>
        <w:t xml:space="preserve">acts on </w:t>
      </w:r>
      <w:r w:rsidRPr="004305C4">
        <w:rPr>
          <w:b/>
          <w:bCs/>
        </w:rPr>
        <w:t xml:space="preserve">the Nigerian Regulatory and </w:t>
      </w:r>
      <w:r w:rsidR="00D94A14">
        <w:rPr>
          <w:b/>
          <w:bCs/>
        </w:rPr>
        <w:t>Tech</w:t>
      </w:r>
      <w:r w:rsidRPr="004305C4">
        <w:rPr>
          <w:b/>
          <w:bCs/>
        </w:rPr>
        <w:t xml:space="preserve"> Landscapes</w:t>
      </w:r>
    </w:p>
    <w:p w14:paraId="534AE687" w14:textId="26A20F7A" w:rsidR="001A0E91" w:rsidRPr="006B1387" w:rsidRDefault="001A0E91" w:rsidP="00A67C8A">
      <w:pPr>
        <w:jc w:val="both"/>
        <w:rPr>
          <w:b/>
          <w:bCs/>
        </w:rPr>
      </w:pPr>
      <w:r w:rsidRPr="006B1387">
        <w:rPr>
          <w:b/>
          <w:bCs/>
        </w:rPr>
        <w:t>Introduction</w:t>
      </w:r>
    </w:p>
    <w:p w14:paraId="78439155" w14:textId="57ED2DDF" w:rsidR="001A0E91" w:rsidRPr="000E2DC0" w:rsidRDefault="001A0E91" w:rsidP="00A67C8A">
      <w:pPr>
        <w:pStyle w:val="NoSpacing"/>
        <w:jc w:val="both"/>
      </w:pPr>
      <w:bookmarkStart w:id="0" w:name="_Hlk70528743"/>
      <w:r w:rsidRPr="000E2DC0">
        <w:t xml:space="preserve">On April 5, 2021, the Supreme Court of the United States of America handed down </w:t>
      </w:r>
      <w:r w:rsidR="00040051" w:rsidRPr="000E2DC0">
        <w:t>a landmark decision in</w:t>
      </w:r>
      <w:r w:rsidRPr="000E2DC0">
        <w:t xml:space="preserve"> the </w:t>
      </w:r>
      <w:r w:rsidRPr="000E2DC0">
        <w:rPr>
          <w:i/>
          <w:iCs/>
        </w:rPr>
        <w:t>Google</w:t>
      </w:r>
      <w:r w:rsidR="00040051" w:rsidRPr="000E2DC0">
        <w:rPr>
          <w:i/>
          <w:iCs/>
        </w:rPr>
        <w:t xml:space="preserve"> LLC</w:t>
      </w:r>
      <w:r w:rsidRPr="000E2DC0">
        <w:rPr>
          <w:i/>
          <w:iCs/>
        </w:rPr>
        <w:t xml:space="preserve"> v. Oracle</w:t>
      </w:r>
      <w:r w:rsidR="00040051" w:rsidRPr="000E2DC0">
        <w:rPr>
          <w:i/>
          <w:iCs/>
        </w:rPr>
        <w:t xml:space="preserve"> America Inc</w:t>
      </w:r>
      <w:r w:rsidRPr="000E2DC0">
        <w:t>.</w:t>
      </w:r>
      <w:r w:rsidR="005B4A02">
        <w:rPr>
          <w:rStyle w:val="FootnoteReference"/>
        </w:rPr>
        <w:footnoteReference w:id="1"/>
      </w:r>
      <w:r w:rsidRPr="000E2DC0">
        <w:t xml:space="preserve"> As many commentators have observed, the decision portends such ability to </w:t>
      </w:r>
      <w:r w:rsidR="004305C4" w:rsidRPr="000E2DC0">
        <w:t xml:space="preserve">influence the existing jurisprudence on </w:t>
      </w:r>
      <w:r w:rsidRPr="000E2DC0">
        <w:t>the</w:t>
      </w:r>
      <w:r w:rsidR="00E029F5" w:rsidRPr="000E2DC0">
        <w:t xml:space="preserve"> </w:t>
      </w:r>
      <w:r w:rsidRPr="000E2DC0">
        <w:t xml:space="preserve">concepts of </w:t>
      </w:r>
      <w:r w:rsidR="00A67C8A" w:rsidRPr="000E2DC0">
        <w:t>copyrightability</w:t>
      </w:r>
      <w:r w:rsidRPr="000E2DC0">
        <w:t xml:space="preserve"> and</w:t>
      </w:r>
      <w:r w:rsidR="004305C4" w:rsidRPr="000E2DC0">
        <w:t xml:space="preserve"> </w:t>
      </w:r>
      <w:r w:rsidRPr="000E2DC0">
        <w:t xml:space="preserve">fair use </w:t>
      </w:r>
      <w:r w:rsidR="00E029F5" w:rsidRPr="000E2DC0">
        <w:t xml:space="preserve">as it relates to software </w:t>
      </w:r>
      <w:r w:rsidR="004305C4" w:rsidRPr="000E2DC0">
        <w:t xml:space="preserve">not </w:t>
      </w:r>
      <w:r w:rsidRPr="000E2DC0">
        <w:t xml:space="preserve">only in the United States, </w:t>
      </w:r>
      <w:r w:rsidR="00E029F5" w:rsidRPr="000E2DC0">
        <w:t xml:space="preserve">but also </w:t>
      </w:r>
      <w:r w:rsidR="00D94A14" w:rsidRPr="000E2DC0">
        <w:t>across other legal systems, Nigeria inclusive.</w:t>
      </w:r>
    </w:p>
    <w:p w14:paraId="123E7E91" w14:textId="028A3295" w:rsidR="00E358DC" w:rsidRPr="000E2DC0" w:rsidRDefault="00E358DC" w:rsidP="00A67C8A">
      <w:pPr>
        <w:pStyle w:val="NoSpacing"/>
        <w:jc w:val="both"/>
      </w:pPr>
    </w:p>
    <w:p w14:paraId="0AC3308F" w14:textId="1028B037" w:rsidR="00E358DC" w:rsidRPr="000E2DC0" w:rsidRDefault="00E358DC" w:rsidP="00A67C8A">
      <w:pPr>
        <w:pStyle w:val="NoSpacing"/>
        <w:jc w:val="both"/>
      </w:pPr>
      <w:r w:rsidRPr="000E2DC0">
        <w:t xml:space="preserve">This is against the backdrop of the fact that Nigeria </w:t>
      </w:r>
      <w:r w:rsidR="00BF2F1A">
        <w:t>is</w:t>
      </w:r>
      <w:r w:rsidRPr="000E2DC0">
        <w:t xml:space="preserve"> a growing market for software products, and businesses have developed an increased need for this technology tool, to adapt to market changes, augment business processes, increase productivity and boost efficiency and speed in customer service delivery</w:t>
      </w:r>
      <w:r w:rsidR="00E029F5" w:rsidRPr="000E2DC0">
        <w:t>.</w:t>
      </w:r>
      <w:r w:rsidR="00E852C6">
        <w:rPr>
          <w:rStyle w:val="FootnoteReference"/>
        </w:rPr>
        <w:footnoteReference w:id="2"/>
      </w:r>
    </w:p>
    <w:p w14:paraId="6572A431" w14:textId="77777777" w:rsidR="00E029F5" w:rsidRPr="000E2DC0" w:rsidRDefault="00E029F5" w:rsidP="00A67C8A">
      <w:pPr>
        <w:pStyle w:val="NoSpacing"/>
        <w:jc w:val="both"/>
      </w:pPr>
    </w:p>
    <w:p w14:paraId="39103430" w14:textId="026A45F1" w:rsidR="004A5CDF" w:rsidRPr="000E2DC0" w:rsidRDefault="00FD4370" w:rsidP="000E2DC0">
      <w:pPr>
        <w:jc w:val="both"/>
      </w:pPr>
      <w:r w:rsidRPr="000E2DC0">
        <w:t>In the light of this reali</w:t>
      </w:r>
      <w:r w:rsidR="00E029F5" w:rsidRPr="000E2DC0">
        <w:t>s</w:t>
      </w:r>
      <w:r w:rsidRPr="000E2DC0">
        <w:t>ation,</w:t>
      </w:r>
      <w:bookmarkEnd w:id="0"/>
      <w:r w:rsidR="003C3A42" w:rsidRPr="000E2DC0">
        <w:t xml:space="preserve"> </w:t>
      </w:r>
      <w:r w:rsidR="00E852C6">
        <w:t>this article</w:t>
      </w:r>
      <w:r w:rsidRPr="000E2DC0">
        <w:t xml:space="preserve"> seeks to review of this decision, while examining its possible </w:t>
      </w:r>
      <w:r w:rsidR="004A5CDF" w:rsidRPr="000E2DC0">
        <w:t>influence</w:t>
      </w:r>
      <w:r w:rsidRPr="000E2DC0">
        <w:t xml:space="preserve"> on the Nigerian regulatory and</w:t>
      </w:r>
      <w:r w:rsidR="00E852C6">
        <w:t xml:space="preserve"> Tech</w:t>
      </w:r>
      <w:r w:rsidRPr="000E2DC0">
        <w:t xml:space="preserve"> landscape</w:t>
      </w:r>
      <w:r w:rsidR="00E852C6">
        <w:t>s</w:t>
      </w:r>
      <w:r w:rsidR="004A5CDF" w:rsidRPr="000E2DC0">
        <w:t>.</w:t>
      </w:r>
    </w:p>
    <w:p w14:paraId="3DAE13DF" w14:textId="77777777" w:rsidR="004A5CDF" w:rsidRPr="000E2DC0" w:rsidRDefault="004A5CDF" w:rsidP="00A67C8A">
      <w:pPr>
        <w:pStyle w:val="NoSpacing"/>
        <w:jc w:val="both"/>
      </w:pPr>
    </w:p>
    <w:p w14:paraId="025DDA95" w14:textId="663FA728" w:rsidR="004926CC" w:rsidRPr="000E2DC0" w:rsidRDefault="000E2DC0" w:rsidP="00A67C8A">
      <w:pPr>
        <w:pStyle w:val="NoSpacing"/>
        <w:jc w:val="both"/>
        <w:rPr>
          <w:b/>
          <w:bCs/>
        </w:rPr>
      </w:pPr>
      <w:r w:rsidRPr="000E2DC0">
        <w:rPr>
          <w:b/>
          <w:bCs/>
        </w:rPr>
        <w:t xml:space="preserve">The </w:t>
      </w:r>
      <w:r w:rsidR="0085525A">
        <w:rPr>
          <w:b/>
          <w:bCs/>
        </w:rPr>
        <w:t xml:space="preserve">Brief </w:t>
      </w:r>
      <w:r w:rsidR="004926CC" w:rsidRPr="000E2DC0">
        <w:rPr>
          <w:b/>
          <w:bCs/>
        </w:rPr>
        <w:t>Facts</w:t>
      </w:r>
    </w:p>
    <w:p w14:paraId="6FD9D20D" w14:textId="125C209B" w:rsidR="004926CC" w:rsidRPr="000E2DC0" w:rsidRDefault="004926CC" w:rsidP="00A67C8A">
      <w:pPr>
        <w:pStyle w:val="NoSpacing"/>
        <w:jc w:val="both"/>
      </w:pPr>
    </w:p>
    <w:p w14:paraId="14334413" w14:textId="20ECA05D" w:rsidR="009639BC" w:rsidRDefault="000A792E" w:rsidP="00A67C8A">
      <w:pPr>
        <w:pStyle w:val="NoSpacing"/>
        <w:jc w:val="both"/>
      </w:pPr>
      <w:r w:rsidRPr="000E2DC0">
        <w:t>Oracle, known for producing database software, filed a copyright lawsuit in 2010 soon after it acquired Sun Microsystems and the rights to that company's Java programming language. In the suit, Oracle accused Google of copying 11,</w:t>
      </w:r>
      <w:r w:rsidR="00B30C19" w:rsidRPr="000E2DC0">
        <w:t>50</w:t>
      </w:r>
      <w:r w:rsidRPr="000E2DC0">
        <w:t>0 lines of Java code for use in the Android operating system. Google acknowledged implementing some of Java's API but argued that copying computer interfaces to create new interoperable software was essentially functional.</w:t>
      </w:r>
      <w:r w:rsidR="004C3880">
        <w:t xml:space="preserve"> </w:t>
      </w:r>
      <w:r w:rsidR="004C3880">
        <w:rPr>
          <w:rStyle w:val="FootnoteReference"/>
        </w:rPr>
        <w:footnoteReference w:id="3"/>
      </w:r>
    </w:p>
    <w:p w14:paraId="294E5E38" w14:textId="77777777" w:rsidR="008D3E64" w:rsidRDefault="008D3E64" w:rsidP="00A67C8A">
      <w:pPr>
        <w:pStyle w:val="NoSpacing"/>
        <w:jc w:val="both"/>
      </w:pPr>
    </w:p>
    <w:p w14:paraId="40735EC5" w14:textId="06F71537" w:rsidR="008D3E64" w:rsidRPr="00D01F1C" w:rsidRDefault="008D3E64" w:rsidP="008D3E64">
      <w:pPr>
        <w:pStyle w:val="NoSpacing"/>
        <w:jc w:val="both"/>
        <w:rPr>
          <w:b/>
          <w:bCs/>
        </w:rPr>
      </w:pPr>
      <w:r w:rsidRPr="00D01F1C">
        <w:rPr>
          <w:b/>
          <w:bCs/>
        </w:rPr>
        <w:t>Decision</w:t>
      </w:r>
    </w:p>
    <w:p w14:paraId="06CAFB9A" w14:textId="34230482" w:rsidR="00040051" w:rsidRDefault="00040051" w:rsidP="00A67C8A">
      <w:pPr>
        <w:pStyle w:val="NoSpacing"/>
        <w:jc w:val="both"/>
      </w:pPr>
    </w:p>
    <w:p w14:paraId="1BCF0F8A" w14:textId="431F0646" w:rsidR="0049773E" w:rsidRDefault="00040051" w:rsidP="00A67C8A">
      <w:pPr>
        <w:pStyle w:val="NoSpacing"/>
        <w:jc w:val="both"/>
      </w:pPr>
      <w:r>
        <w:t>T</w:t>
      </w:r>
      <w:r w:rsidRPr="00040051">
        <w:t>he lower courts have</w:t>
      </w:r>
      <w:r w:rsidR="008D3E64">
        <w:t xml:space="preserve"> had to</w:t>
      </w:r>
      <w:r w:rsidRPr="00040051">
        <w:t xml:space="preserve"> consider (1) whether Java SE’s owner could copyright the copied lines from the API, and (2) if so, whether Google’s copying constituted a permissible</w:t>
      </w:r>
      <w:r w:rsidR="008D3E64">
        <w:t xml:space="preserve"> </w:t>
      </w:r>
      <w:r w:rsidRPr="00040051">
        <w:t xml:space="preserve">“fair use” of that material freeing Google from copyright liability. </w:t>
      </w:r>
    </w:p>
    <w:p w14:paraId="18408366" w14:textId="77777777" w:rsidR="0049773E" w:rsidRDefault="0049773E" w:rsidP="00A67C8A">
      <w:pPr>
        <w:pStyle w:val="NoSpacing"/>
        <w:jc w:val="both"/>
      </w:pPr>
    </w:p>
    <w:p w14:paraId="5115EBE3" w14:textId="77777777" w:rsidR="0049773E" w:rsidRDefault="0049773E" w:rsidP="0049773E">
      <w:pPr>
        <w:pStyle w:val="NoSpacing"/>
        <w:jc w:val="both"/>
      </w:pPr>
      <w:r>
        <w:t>The jury in the United States' lower courts held in favour of Google on fair use, but this was reversed when</w:t>
      </w:r>
    </w:p>
    <w:p w14:paraId="3E70C698" w14:textId="72711EC2" w:rsidR="00040051" w:rsidRDefault="0049773E" w:rsidP="0049773E">
      <w:pPr>
        <w:pStyle w:val="NoSpacing"/>
        <w:jc w:val="both"/>
      </w:pPr>
      <w:r>
        <w:t xml:space="preserve">Oracle appealed to the Federal Circuit court. The </w:t>
      </w:r>
      <w:r w:rsidR="00040051" w:rsidRPr="00040051">
        <w:t>Federal Circuit held that the copied lines</w:t>
      </w:r>
      <w:r w:rsidR="008D3E64">
        <w:t xml:space="preserve"> </w:t>
      </w:r>
      <w:r w:rsidR="00040051" w:rsidRPr="00040051">
        <w:t>are copyrightable</w:t>
      </w:r>
      <w:r w:rsidR="00E8710B">
        <w:t xml:space="preserve"> and reversed the </w:t>
      </w:r>
      <w:r w:rsidR="00040051" w:rsidRPr="00040051">
        <w:t>jury</w:t>
      </w:r>
      <w:r w:rsidR="00E8710B">
        <w:t xml:space="preserve">’s decision on </w:t>
      </w:r>
      <w:r w:rsidR="00040051" w:rsidRPr="00040051">
        <w:t>fair use, concluding that Google’s copying was not a fair use as a matter of law</w:t>
      </w:r>
      <w:r w:rsidR="008D3E64">
        <w:t>.</w:t>
      </w:r>
    </w:p>
    <w:p w14:paraId="0D376614" w14:textId="3E814B75" w:rsidR="008D3E64" w:rsidRDefault="008D3E64" w:rsidP="00A67C8A">
      <w:pPr>
        <w:pStyle w:val="NoSpacing"/>
        <w:jc w:val="both"/>
      </w:pPr>
    </w:p>
    <w:p w14:paraId="01389B6E" w14:textId="04B19395" w:rsidR="008D3E64" w:rsidRDefault="008D3E64" w:rsidP="00A67C8A">
      <w:pPr>
        <w:pStyle w:val="NoSpacing"/>
        <w:jc w:val="both"/>
      </w:pPr>
      <w:r>
        <w:lastRenderedPageBreak/>
        <w:t xml:space="preserve">The SCOTUS (per majority decision: 6 - 2) essentially held that </w:t>
      </w:r>
      <w:r w:rsidRPr="008D3E64">
        <w:t>Google’s copying of the Java SE API, which included only those lines of code that were needed to allow programmers to put their accrued talents to work in a new and transformative program, was a fair</w:t>
      </w:r>
      <w:r>
        <w:t xml:space="preserve"> </w:t>
      </w:r>
      <w:r w:rsidRPr="008D3E64">
        <w:t>use of that material as a matter of law.</w:t>
      </w:r>
    </w:p>
    <w:p w14:paraId="255AA4EB" w14:textId="21759B52" w:rsidR="004926CC" w:rsidRDefault="004926CC" w:rsidP="00A67C8A">
      <w:pPr>
        <w:pStyle w:val="NoSpacing"/>
        <w:jc w:val="both"/>
      </w:pPr>
    </w:p>
    <w:p w14:paraId="37D46B5C" w14:textId="2F1949EF" w:rsidR="004926CC" w:rsidRPr="009639BC" w:rsidRDefault="009639BC" w:rsidP="00A67C8A">
      <w:pPr>
        <w:pStyle w:val="NoSpacing"/>
        <w:jc w:val="both"/>
        <w:rPr>
          <w:b/>
          <w:bCs/>
        </w:rPr>
      </w:pPr>
      <w:r w:rsidRPr="009639BC">
        <w:rPr>
          <w:b/>
          <w:bCs/>
        </w:rPr>
        <w:t>Majority Opinion</w:t>
      </w:r>
      <w:r>
        <w:rPr>
          <w:b/>
          <w:bCs/>
        </w:rPr>
        <w:t xml:space="preserve"> – </w:t>
      </w:r>
      <w:r w:rsidR="00DB37C8">
        <w:rPr>
          <w:b/>
          <w:bCs/>
        </w:rPr>
        <w:t>Justice</w:t>
      </w:r>
      <w:r>
        <w:rPr>
          <w:b/>
          <w:bCs/>
        </w:rPr>
        <w:t xml:space="preserve"> Breyer</w:t>
      </w:r>
    </w:p>
    <w:p w14:paraId="66B44AE3" w14:textId="2DA9DD14" w:rsidR="004926CC" w:rsidRDefault="004926CC" w:rsidP="00A67C8A">
      <w:pPr>
        <w:pStyle w:val="NoSpacing"/>
        <w:jc w:val="both"/>
      </w:pPr>
    </w:p>
    <w:p w14:paraId="638EDF2C" w14:textId="43E3790A" w:rsidR="004926CC" w:rsidRDefault="004926CC" w:rsidP="00A67C8A">
      <w:pPr>
        <w:pStyle w:val="NoSpacing"/>
        <w:jc w:val="both"/>
      </w:pPr>
      <w:r>
        <w:t>Reasons – the 4-way Test</w:t>
      </w:r>
    </w:p>
    <w:p w14:paraId="08A742B6" w14:textId="13B6FDF0" w:rsidR="00EC39CA" w:rsidRDefault="00EC39CA" w:rsidP="00A67C8A">
      <w:pPr>
        <w:pStyle w:val="NoSpacing"/>
        <w:jc w:val="both"/>
      </w:pPr>
    </w:p>
    <w:p w14:paraId="6E388E0B" w14:textId="7FA9F295" w:rsidR="00EC39CA" w:rsidRDefault="00EC39CA" w:rsidP="00EC39CA">
      <w:pPr>
        <w:pStyle w:val="NoSpacing"/>
        <w:numPr>
          <w:ilvl w:val="0"/>
          <w:numId w:val="3"/>
        </w:numPr>
        <w:jc w:val="both"/>
      </w:pPr>
      <w:r>
        <w:t>The Nature of the Copyrighted Work</w:t>
      </w:r>
    </w:p>
    <w:p w14:paraId="35CC31F8" w14:textId="77777777" w:rsidR="00386467" w:rsidRDefault="00386467" w:rsidP="00386467">
      <w:pPr>
        <w:pStyle w:val="NoSpacing"/>
        <w:ind w:left="720"/>
        <w:jc w:val="both"/>
      </w:pPr>
    </w:p>
    <w:p w14:paraId="6FBF969E" w14:textId="40E5B69D" w:rsidR="00EC39CA" w:rsidRDefault="00EC39CA" w:rsidP="00EC39CA">
      <w:pPr>
        <w:pStyle w:val="NoSpacing"/>
        <w:jc w:val="both"/>
      </w:pPr>
      <w:r>
        <w:t xml:space="preserve">According to the Court, the Sun Java API is a “user interface” which provides a way through which users (here the programmers) can “manipulate and control” task-performing computer programs “via a series of menu </w:t>
      </w:r>
      <w:r w:rsidRPr="005B4A02">
        <w:t>commands.”</w:t>
      </w:r>
      <w:r w:rsidR="00DB37C8" w:rsidRPr="005B4A02">
        <w:rPr>
          <w:rStyle w:val="FootnoteReference"/>
        </w:rPr>
        <w:footnoteReference w:id="4"/>
      </w:r>
      <w:r w:rsidR="002342C4" w:rsidRPr="005B4A02">
        <w:t xml:space="preserve"> It went further to hold that although the API declaring code “resembles other copyrighted works in that it is part of a computer programme</w:t>
      </w:r>
      <w:r w:rsidR="000C0116" w:rsidRPr="005B4A02">
        <w:t>”</w:t>
      </w:r>
      <w:r w:rsidR="002342C4" w:rsidRPr="005B4A02">
        <w:t>, it is different in that “it is inextricably bound together with a general system, the division of computing tasks, that no one claims is a proper subject of copyright.</w:t>
      </w:r>
      <w:r w:rsidR="00DB37C8" w:rsidRPr="005B4A02">
        <w:t>”</w:t>
      </w:r>
      <w:r w:rsidR="00DB37C8" w:rsidRPr="005B4A02">
        <w:rPr>
          <w:rStyle w:val="FootnoteReference"/>
        </w:rPr>
        <w:footnoteReference w:id="5"/>
      </w:r>
      <w:r w:rsidR="002342C4" w:rsidRPr="005B4A02">
        <w:t xml:space="preserve"> It is inextricably bound up with the idea of organizing tasks</w:t>
      </w:r>
      <w:r w:rsidR="00DB37C8" w:rsidRPr="005B4A02">
        <w:t xml:space="preserve"> … and</w:t>
      </w:r>
      <w:r w:rsidR="002342C4" w:rsidRPr="005B4A02">
        <w:t xml:space="preserve"> with the use of specific commands”.</w:t>
      </w:r>
      <w:r w:rsidR="00DB37C8" w:rsidRPr="005B4A02">
        <w:rPr>
          <w:rStyle w:val="FootnoteReference"/>
        </w:rPr>
        <w:footnoteReference w:id="6"/>
      </w:r>
      <w:r w:rsidR="00ED572D" w:rsidRPr="005B4A02">
        <w:t xml:space="preserve"> </w:t>
      </w:r>
      <w:r w:rsidR="002342C4" w:rsidRPr="005B4A02">
        <w:t>Owing to these and other distinction</w:t>
      </w:r>
      <w:r w:rsidR="00D85BD4" w:rsidRPr="005B4A02">
        <w:t>s</w:t>
      </w:r>
      <w:r w:rsidR="002342C4" w:rsidRPr="005B4A02">
        <w:t>, the majority held that API’s declaring code was not copyr</w:t>
      </w:r>
      <w:r w:rsidR="00903123" w:rsidRPr="005B4A02">
        <w:t>i</w:t>
      </w:r>
      <w:r w:rsidR="002342C4" w:rsidRPr="005B4A02">
        <w:t>ghtable, being merely functional in nature</w:t>
      </w:r>
      <w:r w:rsidR="00D85BD4" w:rsidRPr="005B4A02">
        <w:t xml:space="preserve"> and its significance dependen</w:t>
      </w:r>
      <w:r w:rsidR="00ED572D" w:rsidRPr="005B4A02">
        <w:t>t</w:t>
      </w:r>
      <w:r w:rsidR="00D85BD4" w:rsidRPr="005B4A02">
        <w:t xml:space="preserve"> on what value programmers ascribe to it. For this, the majority finds that</w:t>
      </w:r>
      <w:r w:rsidR="004D1953" w:rsidRPr="005B4A02">
        <w:t xml:space="preserve"> API declaring code was</w:t>
      </w:r>
      <w:r w:rsidR="00ED572D" w:rsidRPr="005B4A02">
        <w:t xml:space="preserve"> too</w:t>
      </w:r>
      <w:r w:rsidR="004D1953" w:rsidRPr="005B4A02">
        <w:t xml:space="preserve"> remote to what could be copyrightable.</w:t>
      </w:r>
    </w:p>
    <w:p w14:paraId="26C28C9B" w14:textId="1098E8BC" w:rsidR="00A05402" w:rsidRDefault="00A05402" w:rsidP="00EC39CA">
      <w:pPr>
        <w:pStyle w:val="NoSpacing"/>
        <w:jc w:val="both"/>
      </w:pPr>
    </w:p>
    <w:p w14:paraId="55252047" w14:textId="0634B212" w:rsidR="00A05402" w:rsidRDefault="00A05402" w:rsidP="00A05402">
      <w:pPr>
        <w:pStyle w:val="NoSpacing"/>
        <w:numPr>
          <w:ilvl w:val="0"/>
          <w:numId w:val="3"/>
        </w:numPr>
        <w:jc w:val="both"/>
      </w:pPr>
      <w:r>
        <w:t xml:space="preserve"> The Purpose and Character of the Use</w:t>
      </w:r>
    </w:p>
    <w:p w14:paraId="2EA01783" w14:textId="77777777" w:rsidR="00DE0103" w:rsidRDefault="00DE0103" w:rsidP="00DE0103">
      <w:pPr>
        <w:pStyle w:val="NoSpacing"/>
        <w:ind w:left="720"/>
        <w:jc w:val="both"/>
      </w:pPr>
    </w:p>
    <w:p w14:paraId="185EDA59" w14:textId="50F036A9" w:rsidR="00A05402" w:rsidRDefault="00A05402" w:rsidP="00A05402">
      <w:pPr>
        <w:pStyle w:val="NoSpacing"/>
        <w:jc w:val="both"/>
      </w:pPr>
      <w:r>
        <w:t>Here, the majority finds that Google’s use of the copied API was transformative in that it seeks to create new products “</w:t>
      </w:r>
      <w:r w:rsidRPr="00A05402">
        <w:t>to expand the use and usefulness of Android-based smartphones.</w:t>
      </w:r>
      <w:r>
        <w:t>”</w:t>
      </w:r>
      <w:r w:rsidR="00496042">
        <w:rPr>
          <w:rStyle w:val="FootnoteReference"/>
        </w:rPr>
        <w:footnoteReference w:id="7"/>
      </w:r>
      <w:r>
        <w:t xml:space="preserve"> Further justifying the copying, the majority reasoned that “… </w:t>
      </w:r>
      <w:r w:rsidRPr="00A05402">
        <w:t xml:space="preserve">it </w:t>
      </w:r>
      <w:r>
        <w:t xml:space="preserve">[Google] </w:t>
      </w:r>
      <w:r w:rsidRPr="00A05402">
        <w:t>did so only insofar as needed to allow programmers to call upon those tasks without discarding a portion of a familiar programming language and learning a new one.</w:t>
      </w:r>
      <w:r>
        <w:t>”</w:t>
      </w:r>
      <w:r w:rsidR="00FC0B11">
        <w:rPr>
          <w:rStyle w:val="FootnoteReference"/>
        </w:rPr>
        <w:footnoteReference w:id="8"/>
      </w:r>
      <w:r w:rsidR="00BA2040">
        <w:t xml:space="preserve"> On the commerciality point, the majority held that  the inherent transformative nature of the use trumped the commercial use: “</w:t>
      </w:r>
      <w:r w:rsidR="00DE0103">
        <w:t>s</w:t>
      </w:r>
      <w:r w:rsidR="00BA2040" w:rsidRPr="00BA2040">
        <w:t>o even though Google’s use was a commercial endeavor—a fact no</w:t>
      </w:r>
      <w:r w:rsidR="00C74642">
        <w:t xml:space="preserve"> </w:t>
      </w:r>
      <w:r w:rsidR="00BA2040" w:rsidRPr="00BA2040">
        <w:t xml:space="preserve">party disputed, </w:t>
      </w:r>
      <w:r w:rsidR="00DE0103">
        <w:t>…</w:t>
      </w:r>
      <w:r w:rsidR="00C74642">
        <w:t xml:space="preserve"> </w:t>
      </w:r>
      <w:r w:rsidR="00BA2040" w:rsidRPr="00BA2040">
        <w:t>that is not dispositive of the first factor, particularly in light of the inherently transformative role that the reimplementation played in</w:t>
      </w:r>
      <w:r w:rsidR="00C74642">
        <w:t xml:space="preserve"> </w:t>
      </w:r>
      <w:r w:rsidR="00BA2040" w:rsidRPr="00BA2040">
        <w:t>the new Android system.</w:t>
      </w:r>
      <w:r w:rsidR="00BA2040">
        <w:t>”</w:t>
      </w:r>
      <w:r w:rsidR="00781A07">
        <w:rPr>
          <w:rStyle w:val="FootnoteReference"/>
        </w:rPr>
        <w:footnoteReference w:id="9"/>
      </w:r>
      <w:r w:rsidR="00530D27">
        <w:t xml:space="preserve"> The </w:t>
      </w:r>
      <w:r w:rsidR="00DE0103">
        <w:t>majority</w:t>
      </w:r>
      <w:r w:rsidR="00530D27">
        <w:t xml:space="preserve"> merely dismissed the bad faith </w:t>
      </w:r>
      <w:r w:rsidR="00C63A13">
        <w:t>consideration</w:t>
      </w:r>
      <w:r w:rsidR="00530D27">
        <w:t xml:space="preserve"> on the ground that other factors already weigh </w:t>
      </w:r>
      <w:r w:rsidR="00C74642">
        <w:t>in</w:t>
      </w:r>
      <w:r w:rsidR="00530D27">
        <w:t xml:space="preserve"> favour of fair use.</w:t>
      </w:r>
    </w:p>
    <w:p w14:paraId="1F8345BD" w14:textId="36C138C4" w:rsidR="00C63A13" w:rsidRDefault="00C63A13" w:rsidP="00A05402">
      <w:pPr>
        <w:pStyle w:val="NoSpacing"/>
        <w:jc w:val="both"/>
      </w:pPr>
    </w:p>
    <w:p w14:paraId="02AEFADD" w14:textId="22D88AF7" w:rsidR="00C63A13" w:rsidRDefault="00C63A13" w:rsidP="00C63A13">
      <w:pPr>
        <w:pStyle w:val="NoSpacing"/>
        <w:numPr>
          <w:ilvl w:val="0"/>
          <w:numId w:val="3"/>
        </w:numPr>
        <w:jc w:val="both"/>
      </w:pPr>
      <w:r>
        <w:t>The Amount and Substantiality of the Portion Used.</w:t>
      </w:r>
    </w:p>
    <w:p w14:paraId="6857ED82" w14:textId="77777777" w:rsidR="00DE0103" w:rsidRDefault="00DE0103" w:rsidP="00DE0103">
      <w:pPr>
        <w:pStyle w:val="NoSpacing"/>
        <w:ind w:left="720"/>
        <w:jc w:val="both"/>
      </w:pPr>
    </w:p>
    <w:p w14:paraId="0FA13209" w14:textId="33899421" w:rsidR="00A05402" w:rsidRDefault="005D6CE7" w:rsidP="00A05402">
      <w:pPr>
        <w:pStyle w:val="NoSpacing"/>
        <w:jc w:val="both"/>
      </w:pPr>
      <w:r>
        <w:t xml:space="preserve">The majority held that </w:t>
      </w:r>
      <w:r w:rsidR="00D06BC6">
        <w:t>in the broader scheme of the entire software material in Sun Java API, the quantitative amount copie</w:t>
      </w:r>
      <w:r w:rsidR="00F465B6">
        <w:t>d</w:t>
      </w:r>
      <w:r w:rsidR="00D06BC6">
        <w:t xml:space="preserve"> (though 11, 500 lines of code) was </w:t>
      </w:r>
      <w:r w:rsidR="00F465B6">
        <w:t>s</w:t>
      </w:r>
      <w:r w:rsidR="00D06BC6">
        <w:t>mall. Putting it into figures, the majority held that the “t</w:t>
      </w:r>
      <w:r w:rsidR="00D06BC6" w:rsidRPr="00D06BC6">
        <w:t>otal set of Sun Java API computer code, including implementing code, amounted to 2.86 million lines, of which the copied 11,500 lines were only 0.4 percent.</w:t>
      </w:r>
      <w:r w:rsidR="00D06BC6">
        <w:t>”</w:t>
      </w:r>
      <w:r w:rsidR="00F465B6">
        <w:rPr>
          <w:rStyle w:val="FootnoteReference"/>
        </w:rPr>
        <w:footnoteReference w:id="10"/>
      </w:r>
      <w:r w:rsidR="00D06BC6">
        <w:t xml:space="preserve"> </w:t>
      </w:r>
      <w:r w:rsidR="00706781">
        <w:t xml:space="preserve">The majority also considered the fact that Google copied the lines due to their purpose to make it easy for programmers who were already </w:t>
      </w:r>
      <w:r w:rsidR="00706781">
        <w:lastRenderedPageBreak/>
        <w:t xml:space="preserve">used to Java API’s system and the fact that use was transformative. </w:t>
      </w:r>
      <w:r w:rsidR="00D06BC6">
        <w:t xml:space="preserve">Accordingly, the majority held that </w:t>
      </w:r>
      <w:r w:rsidR="00CC00AA">
        <w:t>t</w:t>
      </w:r>
      <w:r w:rsidR="005376BF">
        <w:t>he amount of the code copied was insignificant.</w:t>
      </w:r>
    </w:p>
    <w:p w14:paraId="083C69C9" w14:textId="10B30223" w:rsidR="005376BF" w:rsidRDefault="005376BF" w:rsidP="00A05402">
      <w:pPr>
        <w:pStyle w:val="NoSpacing"/>
        <w:jc w:val="both"/>
      </w:pPr>
    </w:p>
    <w:p w14:paraId="3E65C272" w14:textId="103F94E2" w:rsidR="005376BF" w:rsidRDefault="005376BF" w:rsidP="005376BF">
      <w:pPr>
        <w:pStyle w:val="NoSpacing"/>
        <w:numPr>
          <w:ilvl w:val="0"/>
          <w:numId w:val="3"/>
        </w:numPr>
        <w:jc w:val="both"/>
      </w:pPr>
      <w:r>
        <w:t>Market Effects</w:t>
      </w:r>
    </w:p>
    <w:p w14:paraId="723F50DB" w14:textId="77777777" w:rsidR="00DE0103" w:rsidRDefault="00DE0103" w:rsidP="00DE0103">
      <w:pPr>
        <w:pStyle w:val="NoSpacing"/>
        <w:ind w:left="720"/>
        <w:jc w:val="both"/>
      </w:pPr>
    </w:p>
    <w:p w14:paraId="7F554E5E" w14:textId="77777777" w:rsidR="00DE0103" w:rsidRDefault="005376BF" w:rsidP="005376BF">
      <w:pPr>
        <w:pStyle w:val="NoSpacing"/>
        <w:jc w:val="both"/>
      </w:pPr>
      <w:r>
        <w:t>As it relates to market</w:t>
      </w:r>
      <w:r w:rsidR="00D479C1">
        <w:t xml:space="preserve"> effect, the majority in holding that Google’s copying  (or as it puts it, “reimplementation”) was of a rather insignificant effect on the market share for API, reasoned</w:t>
      </w:r>
      <w:r w:rsidR="00B4560D">
        <w:t xml:space="preserve"> that evidence at the Lower Court revealed that “</w:t>
      </w:r>
      <w:r w:rsidR="00B4560D" w:rsidRPr="00B4560D">
        <w:t>regardless of Android’s smartphone technology, Sun was poorly positioned to succeed in the mobile phone market</w:t>
      </w:r>
      <w:r w:rsidR="00D479C1">
        <w:t>”</w:t>
      </w:r>
      <w:r w:rsidR="000B1934">
        <w:rPr>
          <w:rStyle w:val="FootnoteReference"/>
        </w:rPr>
        <w:footnoteReference w:id="11"/>
      </w:r>
      <w:r w:rsidR="00D479C1">
        <w:t xml:space="preserve"> as “</w:t>
      </w:r>
      <w:r w:rsidR="00B3466F">
        <w:t>.</w:t>
      </w:r>
      <w:r w:rsidR="00D479C1">
        <w:t>..Java SE’s primary market was lapt</w:t>
      </w:r>
      <w:r w:rsidR="000B1934">
        <w:t>o</w:t>
      </w:r>
      <w:r w:rsidR="00D479C1">
        <w:t>ps and desktops”</w:t>
      </w:r>
      <w:r w:rsidR="00B3466F">
        <w:rPr>
          <w:rStyle w:val="FootnoteReference"/>
        </w:rPr>
        <w:footnoteReference w:id="12"/>
      </w:r>
      <w:r w:rsidR="00D479C1">
        <w:t xml:space="preserve"> and “…Sun’s many efforts to move into the mobile phone market had proved unsuccessful”.</w:t>
      </w:r>
      <w:r w:rsidR="002351C0">
        <w:rPr>
          <w:rStyle w:val="FootnoteReference"/>
        </w:rPr>
        <w:footnoteReference w:id="13"/>
      </w:r>
      <w:r w:rsidR="00B0278B">
        <w:t xml:space="preserve"> </w:t>
      </w:r>
      <w:r w:rsidR="00D479C1">
        <w:t xml:space="preserve">Furthermore, the majority had </w:t>
      </w:r>
      <w:r w:rsidR="00DE0103">
        <w:t xml:space="preserve">aligned </w:t>
      </w:r>
      <w:r w:rsidR="00D479C1">
        <w:t>with the jury that the “...</w:t>
      </w:r>
      <w:r w:rsidR="00D479C1" w:rsidRPr="00D479C1">
        <w:t>devices using Google’s Android platform were different in kind from those that licensed Sun’s technology.</w:t>
      </w:r>
      <w:r w:rsidR="00D479C1">
        <w:t>”</w:t>
      </w:r>
      <w:r w:rsidR="00D86D20">
        <w:t xml:space="preserve"> </w:t>
      </w:r>
    </w:p>
    <w:p w14:paraId="1C83EFF3" w14:textId="77777777" w:rsidR="00DE0103" w:rsidRDefault="00DE0103" w:rsidP="005376BF">
      <w:pPr>
        <w:pStyle w:val="NoSpacing"/>
        <w:jc w:val="both"/>
      </w:pPr>
    </w:p>
    <w:p w14:paraId="4E63E44E" w14:textId="5CFB774F" w:rsidR="005376BF" w:rsidRDefault="00DE0103" w:rsidP="005376BF">
      <w:pPr>
        <w:pStyle w:val="NoSpacing"/>
        <w:jc w:val="both"/>
      </w:pPr>
      <w:r>
        <w:t>The</w:t>
      </w:r>
      <w:r w:rsidR="00D86D20">
        <w:t xml:space="preserve"> argument that </w:t>
      </w:r>
      <w:r w:rsidR="00B0278B">
        <w:t xml:space="preserve">API </w:t>
      </w:r>
      <w:r w:rsidR="00D86D20">
        <w:t>does not of itself have an intrinsic value resurfaces as the majority held that whatever accruing to Oracle from  Google’s use of the API would be due to the use which Google puts it which is, to have programmers who were already used to the Java lang easily transition to the Andriod system based on the same language.</w:t>
      </w:r>
      <w:r w:rsidR="00E014F5">
        <w:t xml:space="preserve"> Furthermore, the Court held that considering programmers’ investment in the API, allowing </w:t>
      </w:r>
      <w:r w:rsidR="00B0278B">
        <w:t>Oracle</w:t>
      </w:r>
      <w:r w:rsidR="00E014F5">
        <w:t>‘s c</w:t>
      </w:r>
      <w:r w:rsidR="00B0278B">
        <w:t>opyright</w:t>
      </w:r>
      <w:r w:rsidR="00E014F5">
        <w:t xml:space="preserve"> w</w:t>
      </w:r>
      <w:r w:rsidR="00B0278B">
        <w:t>oul</w:t>
      </w:r>
      <w:r w:rsidR="00E014F5">
        <w:t xml:space="preserve">d harm the public </w:t>
      </w:r>
      <w:r w:rsidR="00737E21">
        <w:t xml:space="preserve"> and have a lock</w:t>
      </w:r>
      <w:r w:rsidR="00DF7D89">
        <w:t xml:space="preserve">-in </w:t>
      </w:r>
      <w:r w:rsidR="00737E21">
        <w:t>effect on future creativity on new programme</w:t>
      </w:r>
      <w:r w:rsidR="00DF7D89">
        <w:t>s</w:t>
      </w:r>
      <w:r w:rsidR="00737E21">
        <w:t>.</w:t>
      </w:r>
    </w:p>
    <w:p w14:paraId="503E4D1F" w14:textId="0121728F" w:rsidR="00E4101B" w:rsidRDefault="00E4101B" w:rsidP="005376BF">
      <w:pPr>
        <w:pStyle w:val="NoSpacing"/>
        <w:jc w:val="both"/>
      </w:pPr>
    </w:p>
    <w:p w14:paraId="0783D67A" w14:textId="79C8C2CB" w:rsidR="00B0278B" w:rsidRDefault="00E4101B" w:rsidP="005376BF">
      <w:pPr>
        <w:pStyle w:val="NoSpacing"/>
        <w:jc w:val="both"/>
      </w:pPr>
      <w:r>
        <w:t>Summarising its reasoning, the</w:t>
      </w:r>
      <w:r w:rsidR="00B0278B">
        <w:t xml:space="preserve"> majority </w:t>
      </w:r>
      <w:r>
        <w:t>puts its thus:</w:t>
      </w:r>
    </w:p>
    <w:p w14:paraId="0A6C9A6C" w14:textId="41EBA0C7" w:rsidR="00E4101B" w:rsidRPr="00B0278B" w:rsidRDefault="00E4101B" w:rsidP="005376BF">
      <w:pPr>
        <w:pStyle w:val="NoSpacing"/>
        <w:jc w:val="both"/>
        <w:rPr>
          <w:sz w:val="20"/>
          <w:szCs w:val="20"/>
        </w:rPr>
      </w:pPr>
      <w:r>
        <w:t xml:space="preserve"> </w:t>
      </w:r>
    </w:p>
    <w:p w14:paraId="7B3498AF" w14:textId="23CA41FE" w:rsidR="00E4101B" w:rsidRDefault="00E4101B" w:rsidP="00DF7D89">
      <w:pPr>
        <w:pStyle w:val="NoSpacing"/>
        <w:ind w:left="1440" w:right="720"/>
        <w:jc w:val="both"/>
      </w:pPr>
      <w:r w:rsidRPr="00B0278B">
        <w:rPr>
          <w:sz w:val="20"/>
          <w:szCs w:val="20"/>
        </w:rPr>
        <w:t>The uncertain nature of Sun’s ability to compete in Android’s market place, the sources of its lost revenue, and the</w:t>
      </w:r>
      <w:r w:rsidR="00B0278B" w:rsidRPr="00B0278B">
        <w:rPr>
          <w:sz w:val="20"/>
          <w:szCs w:val="20"/>
        </w:rPr>
        <w:t xml:space="preserve"> </w:t>
      </w:r>
      <w:r w:rsidRPr="00B0278B">
        <w:rPr>
          <w:sz w:val="20"/>
          <w:szCs w:val="20"/>
        </w:rPr>
        <w:t>risk of creativity-related harms to the public, when taken</w:t>
      </w:r>
      <w:r w:rsidR="00B0278B" w:rsidRPr="00B0278B">
        <w:rPr>
          <w:sz w:val="20"/>
          <w:szCs w:val="20"/>
        </w:rPr>
        <w:t xml:space="preserve"> </w:t>
      </w:r>
      <w:r w:rsidRPr="00B0278B">
        <w:rPr>
          <w:sz w:val="20"/>
          <w:szCs w:val="20"/>
        </w:rPr>
        <w:t>together, convince that this fourth factor—market effects—also weighs in favor of fair use</w:t>
      </w:r>
      <w:r w:rsidRPr="00E4101B">
        <w:t>.</w:t>
      </w:r>
      <w:r>
        <w:rPr>
          <w:rStyle w:val="FootnoteReference"/>
        </w:rPr>
        <w:footnoteReference w:id="14"/>
      </w:r>
    </w:p>
    <w:p w14:paraId="215264A6" w14:textId="77777777" w:rsidR="00B0278B" w:rsidRDefault="00B0278B" w:rsidP="005376BF">
      <w:pPr>
        <w:pStyle w:val="NoSpacing"/>
        <w:jc w:val="both"/>
      </w:pPr>
    </w:p>
    <w:p w14:paraId="6F611D45" w14:textId="7BACD4BA" w:rsidR="00A52051" w:rsidRPr="006B1387" w:rsidRDefault="00A52051" w:rsidP="00A67C8A">
      <w:pPr>
        <w:pStyle w:val="NoSpacing"/>
        <w:jc w:val="both"/>
        <w:rPr>
          <w:b/>
          <w:bCs/>
        </w:rPr>
      </w:pPr>
    </w:p>
    <w:p w14:paraId="3069DCBB" w14:textId="38E3232A" w:rsidR="00A52051" w:rsidRPr="006B1387" w:rsidRDefault="00A52051" w:rsidP="00A67C8A">
      <w:pPr>
        <w:pStyle w:val="NoSpacing"/>
        <w:jc w:val="both"/>
        <w:rPr>
          <w:b/>
          <w:bCs/>
        </w:rPr>
      </w:pPr>
      <w:r w:rsidRPr="006B1387">
        <w:rPr>
          <w:b/>
          <w:bCs/>
        </w:rPr>
        <w:t>Dissent</w:t>
      </w:r>
      <w:r w:rsidR="006B1387" w:rsidRPr="006B1387">
        <w:rPr>
          <w:b/>
          <w:bCs/>
        </w:rPr>
        <w:t>ing Opinion</w:t>
      </w:r>
      <w:r w:rsidRPr="006B1387">
        <w:rPr>
          <w:b/>
          <w:bCs/>
        </w:rPr>
        <w:t xml:space="preserve"> </w:t>
      </w:r>
      <w:r w:rsidR="004221B2" w:rsidRPr="006B1387">
        <w:rPr>
          <w:b/>
          <w:bCs/>
        </w:rPr>
        <w:t>– Justice</w:t>
      </w:r>
      <w:r w:rsidR="006B1387" w:rsidRPr="006B1387">
        <w:rPr>
          <w:b/>
          <w:bCs/>
        </w:rPr>
        <w:t xml:space="preserve"> Thomas</w:t>
      </w:r>
    </w:p>
    <w:p w14:paraId="267EA55C" w14:textId="7F564748" w:rsidR="002330F3" w:rsidRDefault="002330F3" w:rsidP="00A67C8A">
      <w:pPr>
        <w:pStyle w:val="NoSpacing"/>
        <w:jc w:val="both"/>
      </w:pPr>
    </w:p>
    <w:p w14:paraId="77182DE8" w14:textId="163C07C9" w:rsidR="006B1387" w:rsidRDefault="002330F3" w:rsidP="00A67C8A">
      <w:pPr>
        <w:pStyle w:val="NoSpacing"/>
        <w:jc w:val="both"/>
      </w:pPr>
      <w:r>
        <w:t xml:space="preserve">Justice Thomas started off on the note that </w:t>
      </w:r>
      <w:r w:rsidR="00465EF9">
        <w:t xml:space="preserve">the majority failed in its assessment </w:t>
      </w:r>
      <w:r w:rsidR="006B1387">
        <w:t xml:space="preserve">of fair use because it failed to address </w:t>
      </w:r>
      <w:r w:rsidR="00465EF9">
        <w:t xml:space="preserve">the first question of </w:t>
      </w:r>
      <w:r w:rsidR="006B1387">
        <w:t>copyrightability</w:t>
      </w:r>
      <w:r w:rsidR="00465EF9">
        <w:t xml:space="preserve">. </w:t>
      </w:r>
      <w:r w:rsidR="006A169C">
        <w:t>Putting it pointedly, Justice Thomas held thus: ”</w:t>
      </w:r>
      <w:r w:rsidR="006B1387">
        <w:t>t</w:t>
      </w:r>
      <w:r w:rsidR="006A169C" w:rsidRPr="006A169C">
        <w:t>he Court reaches this unlikely result in large part because it bypasses the antecedent question clearly before us: Is the software code at issue here protected by the Copyright Act?</w:t>
      </w:r>
      <w:r w:rsidR="006A169C">
        <w:t>”</w:t>
      </w:r>
      <w:r w:rsidR="006A169C">
        <w:rPr>
          <w:rStyle w:val="FootnoteReference"/>
        </w:rPr>
        <w:footnoteReference w:id="15"/>
      </w:r>
      <w:r w:rsidR="00557D70">
        <w:t xml:space="preserve"> </w:t>
      </w:r>
    </w:p>
    <w:p w14:paraId="7E5BEB85" w14:textId="77777777" w:rsidR="006B1387" w:rsidRDefault="006B1387" w:rsidP="00A67C8A">
      <w:pPr>
        <w:pStyle w:val="NoSpacing"/>
        <w:jc w:val="both"/>
      </w:pPr>
    </w:p>
    <w:p w14:paraId="1EEB90DF" w14:textId="20A8E194" w:rsidR="00B7412D" w:rsidRDefault="00557D70" w:rsidP="00A67C8A">
      <w:pPr>
        <w:pStyle w:val="NoSpacing"/>
        <w:jc w:val="both"/>
      </w:pPr>
      <w:r>
        <w:t xml:space="preserve">Justice Thomas </w:t>
      </w:r>
      <w:r w:rsidR="004221B2">
        <w:t xml:space="preserve">therefore </w:t>
      </w:r>
      <w:r>
        <w:t>held that the API’s declaring code was copyrightable by (1) the natural meaning ascribed to the word “computer program” under 17 U. S. C.  §101, especially by the words “</w:t>
      </w:r>
      <w:r w:rsidRPr="00557D70">
        <w:t>sets of statements that indirectly</w:t>
      </w:r>
      <w:r w:rsidR="00B7412D">
        <w:t xml:space="preserve"> </w:t>
      </w:r>
      <w:r w:rsidRPr="00557D70">
        <w:t>perform computer functions by triggering prewritten implementing code</w:t>
      </w:r>
      <w:r>
        <w:t>”</w:t>
      </w:r>
      <w:r w:rsidR="004221B2">
        <w:t xml:space="preserve"> and</w:t>
      </w:r>
      <w:r>
        <w:t xml:space="preserve"> (2) declaring code is copyrightable as original work of authorship</w:t>
      </w:r>
      <w:r w:rsidR="004221B2">
        <w:t>,</w:t>
      </w:r>
      <w:r>
        <w:t xml:space="preserve"> </w:t>
      </w:r>
      <w:r w:rsidRPr="00557D70">
        <w:t>§102(a).</w:t>
      </w:r>
      <w:r w:rsidR="00C26471">
        <w:t xml:space="preserve"> </w:t>
      </w:r>
    </w:p>
    <w:p w14:paraId="0D3345AC" w14:textId="77777777" w:rsidR="00B7412D" w:rsidRDefault="00B7412D" w:rsidP="00A67C8A">
      <w:pPr>
        <w:pStyle w:val="NoSpacing"/>
        <w:jc w:val="both"/>
      </w:pPr>
    </w:p>
    <w:p w14:paraId="2BF99609" w14:textId="47321609" w:rsidR="002330F3" w:rsidRDefault="00C26471" w:rsidP="00A67C8A">
      <w:pPr>
        <w:pStyle w:val="NoSpacing"/>
        <w:jc w:val="both"/>
      </w:pPr>
      <w:r>
        <w:t>On Google’s contention tha</w:t>
      </w:r>
      <w:r w:rsidR="00783331">
        <w:t>t</w:t>
      </w:r>
      <w:r>
        <w:t xml:space="preserve"> a declaring code is a </w:t>
      </w:r>
      <w:r w:rsidRPr="00C26471">
        <w:t>“method of operation” and thus excluded from protection by §102(b)</w:t>
      </w:r>
      <w:r>
        <w:t xml:space="preserve">”, Justice Thomas held that the argument fails in </w:t>
      </w:r>
      <w:r w:rsidR="00B7412D">
        <w:t xml:space="preserve">that </w:t>
      </w:r>
      <w:r>
        <w:t xml:space="preserve">Oracle can rightly </w:t>
      </w:r>
      <w:r w:rsidR="00996125">
        <w:t>copyright</w:t>
      </w:r>
      <w:r>
        <w:t xml:space="preserve"> </w:t>
      </w:r>
      <w:r>
        <w:lastRenderedPageBreak/>
        <w:t xml:space="preserve">the expression of the declaring code found in its library even though </w:t>
      </w:r>
      <w:r w:rsidR="004221B2">
        <w:t xml:space="preserve">it </w:t>
      </w:r>
      <w:r>
        <w:t xml:space="preserve">cannot copyright the idea of a declaring code. Justice Thomas believes that </w:t>
      </w:r>
      <w:r w:rsidR="004221B2">
        <w:t xml:space="preserve">at </w:t>
      </w:r>
      <w:r>
        <w:t>three of the four factors weigh in favour of Oracle.</w:t>
      </w:r>
    </w:p>
    <w:p w14:paraId="6B1A6868" w14:textId="6F24506B" w:rsidR="00783331" w:rsidRDefault="00783331" w:rsidP="00A67C8A">
      <w:pPr>
        <w:pStyle w:val="NoSpacing"/>
        <w:jc w:val="both"/>
      </w:pPr>
    </w:p>
    <w:p w14:paraId="5F2E15C6" w14:textId="64EC5644" w:rsidR="00783331" w:rsidRDefault="00783331" w:rsidP="00783331">
      <w:pPr>
        <w:pStyle w:val="NoSpacing"/>
        <w:numPr>
          <w:ilvl w:val="0"/>
          <w:numId w:val="4"/>
        </w:numPr>
        <w:jc w:val="both"/>
      </w:pPr>
      <w:r>
        <w:t>Nature of Copyrighted Work</w:t>
      </w:r>
    </w:p>
    <w:p w14:paraId="4E2D3118" w14:textId="36C14DCC" w:rsidR="005B2D22" w:rsidRDefault="005B2D22" w:rsidP="00A67C8A">
      <w:pPr>
        <w:pStyle w:val="NoSpacing"/>
        <w:jc w:val="both"/>
      </w:pPr>
    </w:p>
    <w:p w14:paraId="30D24A0D" w14:textId="6D0F5812" w:rsidR="005B2D22" w:rsidRDefault="005B2D22" w:rsidP="00A67C8A">
      <w:pPr>
        <w:pStyle w:val="NoSpacing"/>
        <w:jc w:val="both"/>
      </w:pPr>
      <w:r>
        <w:t>On the first factor considered by the Majority, Nature of Copyrighted Work, Justice Thomas held that</w:t>
      </w:r>
      <w:r w:rsidR="00DE1887">
        <w:t xml:space="preserve"> </w:t>
      </w:r>
      <w:r w:rsidR="003B5F19">
        <w:t xml:space="preserve">declaring code is copyrightable in that </w:t>
      </w:r>
      <w:r w:rsidR="00DE1887">
        <w:t>it indirectly</w:t>
      </w:r>
      <w:r w:rsidR="003B5F19">
        <w:t xml:space="preserve"> instructs the computer and it is closer to the core of copyright in that, unlike implementing code which conveys no expression to the developers, declaring code is user facing. He faulted the majority view that declaring code is not copyrightable because it is bounded together with uncopyrightable ideas by explaining that every other literary work, e</w:t>
      </w:r>
      <w:r w:rsidR="00DE1887">
        <w:t>.</w:t>
      </w:r>
      <w:r w:rsidR="003B5F19">
        <w:t>g b</w:t>
      </w:r>
      <w:r w:rsidR="00DE1887">
        <w:t>ooks</w:t>
      </w:r>
      <w:r w:rsidR="003B5F19">
        <w:t>, are also bound together with uncopyrightable ideas. The third</w:t>
      </w:r>
      <w:r w:rsidR="001B53B7">
        <w:t>-</w:t>
      </w:r>
      <w:r w:rsidR="003B5F19">
        <w:t>party appr</w:t>
      </w:r>
      <w:r w:rsidR="001B53B7">
        <w:t>ecia</w:t>
      </w:r>
      <w:r w:rsidR="003B5F19">
        <w:t>tion/ lack of intrinsic value argument is also held untenable as there are other copyrighted works in similar position e</w:t>
      </w:r>
      <w:r w:rsidR="001B53B7">
        <w:t>.g</w:t>
      </w:r>
      <w:r w:rsidR="003B5F19">
        <w:t xml:space="preserve"> m</w:t>
      </w:r>
      <w:r w:rsidR="001B53B7">
        <w:t>u</w:t>
      </w:r>
      <w:r w:rsidR="003B5F19">
        <w:t>s</w:t>
      </w:r>
      <w:r w:rsidR="001B53B7">
        <w:t>ical</w:t>
      </w:r>
      <w:r w:rsidR="003B5F19">
        <w:t xml:space="preserve"> scripts</w:t>
      </w:r>
      <w:r w:rsidR="001B53B7">
        <w:t>.</w:t>
      </w:r>
      <w:r w:rsidR="003B5F19">
        <w:t xml:space="preserve"> </w:t>
      </w:r>
    </w:p>
    <w:p w14:paraId="43941D1F" w14:textId="242E15AA" w:rsidR="0012180D" w:rsidRDefault="0012180D" w:rsidP="00A67C8A">
      <w:pPr>
        <w:pStyle w:val="NoSpacing"/>
        <w:jc w:val="both"/>
      </w:pPr>
    </w:p>
    <w:p w14:paraId="543066CC" w14:textId="52AF835D" w:rsidR="00E44E3C" w:rsidRDefault="00763CE0" w:rsidP="001B53B7">
      <w:pPr>
        <w:pStyle w:val="ListParagraph"/>
        <w:numPr>
          <w:ilvl w:val="0"/>
          <w:numId w:val="4"/>
        </w:numPr>
        <w:jc w:val="both"/>
      </w:pPr>
      <w:r>
        <w:t>Market Effects</w:t>
      </w:r>
    </w:p>
    <w:p w14:paraId="5DBF17A5" w14:textId="30479F2F" w:rsidR="00045265" w:rsidRDefault="00045265" w:rsidP="00A67C8A">
      <w:pPr>
        <w:jc w:val="both"/>
      </w:pPr>
      <w:r>
        <w:t>Under this, Justice Thomas held that Google’s copying of Sun’s API had colossal effect on the potential market for Oracle. According to the learned jurist, “</w:t>
      </w:r>
      <w:r w:rsidRPr="00045265">
        <w:t>First, Google eliminated the reason manufacturers were willing to pay to install the Java platform.</w:t>
      </w:r>
      <w:r>
        <w:t>”</w:t>
      </w:r>
      <w:r w:rsidR="00764CF2">
        <w:rPr>
          <w:rStyle w:val="FootnoteReference"/>
        </w:rPr>
        <w:footnoteReference w:id="16"/>
      </w:r>
      <w:r w:rsidR="00764CF2">
        <w:t xml:space="preserve"> </w:t>
      </w:r>
      <w:r>
        <w:t xml:space="preserve">Backing up </w:t>
      </w:r>
      <w:r w:rsidR="002B7119">
        <w:t>his</w:t>
      </w:r>
      <w:r>
        <w:t xml:space="preserve"> position with evidence from the Trial Court, </w:t>
      </w:r>
      <w:r w:rsidR="001B53B7">
        <w:t xml:space="preserve">Justice Thomas </w:t>
      </w:r>
      <w:r>
        <w:t>held that: “</w:t>
      </w:r>
      <w:r w:rsidR="00D2346A">
        <w:t>…</w:t>
      </w:r>
      <w:r w:rsidRPr="00045265">
        <w:t xml:space="preserve"> before Google released Android, Amazon</w:t>
      </w:r>
      <w:r w:rsidR="00764CF2">
        <w:t xml:space="preserve"> </w:t>
      </w:r>
      <w:r w:rsidRPr="00045265">
        <w:t>paid for a license to embed the Java platform in Kindle devices. But after Google released Android, Amazon used the cost-free availability of Android to negotiate a 97.5% discount on its license fee with Oracle. Evidence at trial similarly showed that right after Google released Android, Samsung’s contract with Oracle dropped from $40 million to about $1 million.</w:t>
      </w:r>
      <w:r>
        <w:t xml:space="preserve">” </w:t>
      </w:r>
      <w:r>
        <w:rPr>
          <w:rStyle w:val="FootnoteReference"/>
        </w:rPr>
        <w:footnoteReference w:id="17"/>
      </w:r>
    </w:p>
    <w:p w14:paraId="43A9E349" w14:textId="4DF25BA2" w:rsidR="00045265" w:rsidRDefault="00045265" w:rsidP="00A67C8A">
      <w:pPr>
        <w:jc w:val="both"/>
      </w:pPr>
      <w:r>
        <w:t xml:space="preserve">Furthermore, the </w:t>
      </w:r>
      <w:r w:rsidR="00D25F12">
        <w:t>Justice Thomas</w:t>
      </w:r>
      <w:r>
        <w:t xml:space="preserve"> held that: “</w:t>
      </w:r>
      <w:r w:rsidRPr="00045265">
        <w:t>Second, Google interfered with opportunities for Oracle</w:t>
      </w:r>
      <w:r w:rsidR="00D25F12">
        <w:t xml:space="preserve"> </w:t>
      </w:r>
      <w:r w:rsidRPr="00045265">
        <w:t>to license the Java platform to developers of smartphone</w:t>
      </w:r>
      <w:r w:rsidR="00D25F12">
        <w:t xml:space="preserve"> </w:t>
      </w:r>
      <w:r w:rsidRPr="00045265">
        <w:t>operating systems.</w:t>
      </w:r>
      <w:r>
        <w:t>”</w:t>
      </w:r>
      <w:r w:rsidR="00E25DF1">
        <w:t xml:space="preserve"> </w:t>
      </w:r>
      <w:r w:rsidR="00D25F12">
        <w:t>He</w:t>
      </w:r>
      <w:r w:rsidR="00E25DF1">
        <w:t xml:space="preserve"> held further that the copying ruined Oracle’s chances of licensing others that might have capacity to enter the smartphone market even if it could not.</w:t>
      </w:r>
    </w:p>
    <w:p w14:paraId="32978CB3" w14:textId="04C7FD14" w:rsidR="006053A3" w:rsidRDefault="006053A3" w:rsidP="00D25F12">
      <w:pPr>
        <w:pStyle w:val="ListParagraph"/>
        <w:numPr>
          <w:ilvl w:val="0"/>
          <w:numId w:val="4"/>
        </w:numPr>
        <w:jc w:val="both"/>
      </w:pPr>
      <w:r>
        <w:t>Purpose and Character of the Use</w:t>
      </w:r>
    </w:p>
    <w:p w14:paraId="377FBDFB" w14:textId="761ACBD2" w:rsidR="006053A3" w:rsidRDefault="006053A3" w:rsidP="00A67C8A">
      <w:pPr>
        <w:jc w:val="both"/>
        <w:rPr>
          <w:rFonts w:cs="Century Schoolbook"/>
          <w:color w:val="000000"/>
        </w:rPr>
      </w:pPr>
      <w:r>
        <w:t>Justice Thomas held that Google’s use was extremely commercial, identifying that Google was grossing in tens of billions of Dollars annually on its Andriod platform and that Google</w:t>
      </w:r>
      <w:r w:rsidR="002E3D90">
        <w:t xml:space="preserve">’s </w:t>
      </w:r>
      <w:r>
        <w:t xml:space="preserve">use was not transformative as it essentially did not resemble any of the “guided examples” stated under </w:t>
      </w:r>
      <w:r>
        <w:rPr>
          <w:rFonts w:cs="Century Schoolbook"/>
          <w:color w:val="000000"/>
        </w:rPr>
        <w:t>§107, even though the list was not exhaustive.</w:t>
      </w:r>
      <w:r w:rsidR="00FB599F">
        <w:rPr>
          <w:rFonts w:cs="Century Schoolbook"/>
          <w:color w:val="000000"/>
        </w:rPr>
        <w:t xml:space="preserve"> </w:t>
      </w:r>
      <w:r w:rsidR="002B7119">
        <w:rPr>
          <w:rFonts w:cs="Century Schoolbook"/>
          <w:color w:val="000000"/>
        </w:rPr>
        <w:t xml:space="preserve">Justice </w:t>
      </w:r>
      <w:r w:rsidR="00FB599F">
        <w:rPr>
          <w:rFonts w:cs="Century Schoolbook"/>
          <w:color w:val="000000"/>
        </w:rPr>
        <w:t xml:space="preserve">Thomas believes that the majority wrongly conflates transformative use with derivative use, citing that </w:t>
      </w:r>
      <w:r w:rsidR="00FB599F" w:rsidRPr="00FB599F">
        <w:rPr>
          <w:rFonts w:cs="Century Schoolbook"/>
          <w:color w:val="000000"/>
        </w:rPr>
        <w:t>Oracle holds “the exclusive rights . . . to prepare derivative works.” §106(2).</w:t>
      </w:r>
      <w:r w:rsidR="002E3D90">
        <w:rPr>
          <w:rStyle w:val="FootnoteReference"/>
          <w:rFonts w:cs="Century Schoolbook"/>
          <w:color w:val="000000"/>
        </w:rPr>
        <w:footnoteReference w:id="18"/>
      </w:r>
    </w:p>
    <w:p w14:paraId="1C70164F" w14:textId="5B0A8731" w:rsidR="00FB599F" w:rsidRPr="000B609E" w:rsidRDefault="00FB599F" w:rsidP="000B609E">
      <w:pPr>
        <w:pStyle w:val="ListParagraph"/>
        <w:numPr>
          <w:ilvl w:val="0"/>
          <w:numId w:val="4"/>
        </w:numPr>
        <w:jc w:val="both"/>
        <w:rPr>
          <w:rFonts w:cs="Century Schoolbook"/>
          <w:color w:val="000000"/>
        </w:rPr>
      </w:pPr>
      <w:r w:rsidRPr="000B609E">
        <w:rPr>
          <w:rFonts w:cs="Century Schoolbook"/>
          <w:color w:val="000000"/>
        </w:rPr>
        <w:t>Amount and Substantiality of the Portion Used</w:t>
      </w:r>
    </w:p>
    <w:p w14:paraId="76CA09F0" w14:textId="559D1D2F" w:rsidR="005A7B70" w:rsidRDefault="005A7B70" w:rsidP="00A67C8A">
      <w:pPr>
        <w:jc w:val="both"/>
      </w:pPr>
      <w:r>
        <w:rPr>
          <w:rFonts w:cs="Century Schoolbook"/>
          <w:color w:val="000000"/>
        </w:rPr>
        <w:t>Here, Justice Thomas held that Google copied the heart or the focal points of Oracle’s work. According to him, “th</w:t>
      </w:r>
      <w:r w:rsidRPr="005A7B70">
        <w:rPr>
          <w:rFonts w:cs="Century Schoolbook"/>
          <w:color w:val="000000"/>
        </w:rPr>
        <w:t>e declaring code is what attracted programmers to the Java platform and why Google was so interested in that code. And Google copied that code “verbatim,”</w:t>
      </w:r>
      <w:r>
        <w:rPr>
          <w:rFonts w:cs="Century Schoolbook"/>
          <w:color w:val="000000"/>
        </w:rPr>
        <w:t>.</w:t>
      </w:r>
      <w:r w:rsidR="000B609E">
        <w:rPr>
          <w:rStyle w:val="FootnoteReference"/>
          <w:rFonts w:cs="Century Schoolbook"/>
          <w:color w:val="000000"/>
        </w:rPr>
        <w:footnoteReference w:id="19"/>
      </w:r>
      <w:r w:rsidR="000023BD">
        <w:rPr>
          <w:rFonts w:cs="Century Schoolbook"/>
          <w:color w:val="000000"/>
        </w:rPr>
        <w:t xml:space="preserve"> </w:t>
      </w:r>
      <w:r>
        <w:rPr>
          <w:rFonts w:cs="Century Schoolbook"/>
          <w:color w:val="000000"/>
        </w:rPr>
        <w:t xml:space="preserve">He added that the copying could not be excused as the use was not transformative. He further stated that even if the use was transformative, </w:t>
      </w:r>
      <w:r>
        <w:rPr>
          <w:rFonts w:cs="Century Schoolbook"/>
          <w:color w:val="000000"/>
        </w:rPr>
        <w:lastRenderedPageBreak/>
        <w:t>the majority was wrong to hold that only a small part was copied,  as the proper denominator was declaring code</w:t>
      </w:r>
      <w:r w:rsidR="000E4BF0">
        <w:rPr>
          <w:rFonts w:cs="Century Schoolbook"/>
          <w:color w:val="000000"/>
        </w:rPr>
        <w:t xml:space="preserve"> and</w:t>
      </w:r>
      <w:r>
        <w:rPr>
          <w:rFonts w:cs="Century Schoolbook"/>
          <w:color w:val="000000"/>
        </w:rPr>
        <w:t xml:space="preserve"> not all code</w:t>
      </w:r>
      <w:r w:rsidR="000E4BF0">
        <w:rPr>
          <w:rFonts w:cs="Century Schoolbook"/>
          <w:color w:val="000000"/>
        </w:rPr>
        <w:t>;</w:t>
      </w:r>
      <w:r>
        <w:rPr>
          <w:rFonts w:cs="Century Schoolbook"/>
          <w:color w:val="000000"/>
        </w:rPr>
        <w:t xml:space="preserve"> and it was this that made Andriod </w:t>
      </w:r>
      <w:r w:rsidRPr="005A7B70">
        <w:rPr>
          <w:rFonts w:cs="Century Schoolbook"/>
          <w:color w:val="000000"/>
        </w:rPr>
        <w:t xml:space="preserve">a “market substitute” for “potentially licensed derivatives” of Oracle’s Java platform. </w:t>
      </w:r>
      <w:r w:rsidR="006E0280">
        <w:rPr>
          <w:rFonts w:cs="Century Schoolbook"/>
          <w:color w:val="000000"/>
        </w:rPr>
        <w:t xml:space="preserve">The learned jurist </w:t>
      </w:r>
      <w:r w:rsidR="000171C2">
        <w:rPr>
          <w:rFonts w:cs="Century Schoolbook"/>
          <w:color w:val="000000"/>
        </w:rPr>
        <w:t>concluded</w:t>
      </w:r>
      <w:r w:rsidR="006E0280">
        <w:rPr>
          <w:rFonts w:cs="Century Schoolbook"/>
          <w:color w:val="000000"/>
        </w:rPr>
        <w:t xml:space="preserve"> that </w:t>
      </w:r>
      <w:r w:rsidRPr="005A7B70">
        <w:rPr>
          <w:rFonts w:cs="Century Schoolbook"/>
          <w:color w:val="000000"/>
        </w:rPr>
        <w:t>Google’s copying was both qualitatively and quantitatively substantial.</w:t>
      </w:r>
    </w:p>
    <w:p w14:paraId="6377C444" w14:textId="07757E2D" w:rsidR="00763CE0" w:rsidRDefault="00D86D20" w:rsidP="000E4BF0">
      <w:pPr>
        <w:tabs>
          <w:tab w:val="left" w:pos="3570"/>
        </w:tabs>
        <w:jc w:val="both"/>
      </w:pPr>
      <w:r>
        <w:tab/>
      </w:r>
    </w:p>
    <w:p w14:paraId="5A8AB467" w14:textId="65457561" w:rsidR="000171C2" w:rsidRDefault="00E44E3C" w:rsidP="00A67C8A">
      <w:pPr>
        <w:jc w:val="both"/>
        <w:rPr>
          <w:b/>
          <w:bCs/>
        </w:rPr>
      </w:pPr>
      <w:r>
        <w:t xml:space="preserve"> </w:t>
      </w:r>
      <w:r w:rsidR="001A370E" w:rsidRPr="000171C2">
        <w:rPr>
          <w:b/>
          <w:bCs/>
        </w:rPr>
        <w:t xml:space="preserve">Analysis </w:t>
      </w:r>
    </w:p>
    <w:p w14:paraId="5AE511F0" w14:textId="30F3BF4A" w:rsidR="000171C2" w:rsidRDefault="000171C2" w:rsidP="00A67C8A">
      <w:pPr>
        <w:jc w:val="both"/>
      </w:pPr>
      <w:r>
        <w:t xml:space="preserve">The Writer is </w:t>
      </w:r>
      <w:r w:rsidR="000E4BF0">
        <w:t xml:space="preserve">in </w:t>
      </w:r>
      <w:r>
        <w:t xml:space="preserve">total agreement with the minority opinion that </w:t>
      </w:r>
      <w:r w:rsidR="00BB14D3">
        <w:t xml:space="preserve">the </w:t>
      </w:r>
      <w:r>
        <w:t xml:space="preserve">API interface/ the declaring code was copyrightable as an original work, without more. </w:t>
      </w:r>
      <w:r w:rsidR="00D45B9E">
        <w:t>The Writer however find Justice Thomas’ subsequent concession</w:t>
      </w:r>
      <w:r w:rsidR="00BB14D3">
        <w:rPr>
          <w:rStyle w:val="FootnoteReference"/>
        </w:rPr>
        <w:footnoteReference w:id="20"/>
      </w:r>
      <w:r w:rsidR="00D45B9E">
        <w:t xml:space="preserve"> that “nature of copyrighted work” factor might be in favour of Google to be inconsistent as, invariably, if the nature of a work is hardly amenable to being copyrighted, it inevitably answers the question of whether the work was originally copyrightable in the negative. </w:t>
      </w:r>
    </w:p>
    <w:p w14:paraId="17626E89" w14:textId="2CD9FFC6" w:rsidR="00045265" w:rsidRDefault="00983311" w:rsidP="00A67C8A">
      <w:pPr>
        <w:jc w:val="both"/>
      </w:pPr>
      <w:r>
        <w:t xml:space="preserve">Furthermore, </w:t>
      </w:r>
      <w:r w:rsidR="00B1637D">
        <w:t>the Writer does not agree with the majority’s findings on the market effect (holding that there was less likelihood of any significant effect on Oracle’s market since the</w:t>
      </w:r>
      <w:r w:rsidR="00911F43">
        <w:t xml:space="preserve"> evidence before the jury</w:t>
      </w:r>
      <w:r w:rsidR="00B1637D">
        <w:t xml:space="preserve"> shows that the </w:t>
      </w:r>
      <w:r w:rsidR="00911F43">
        <w:t xml:space="preserve">devices using Sun API were </w:t>
      </w:r>
      <w:r w:rsidR="003D7176">
        <w:t>simpler “feature phones”</w:t>
      </w:r>
      <w:r w:rsidR="00B1637D">
        <w:t xml:space="preserve">). The Writer’s contention here is </w:t>
      </w:r>
      <w:r w:rsidR="003D7176">
        <w:t xml:space="preserve">that </w:t>
      </w:r>
      <w:r w:rsidR="00B1637D">
        <w:t xml:space="preserve">there is also the </w:t>
      </w:r>
      <w:r w:rsidR="003D7176">
        <w:t>possibility that Sun’s market share might have grown with increased growth in technical know how. The argument or evidence that the Google’s Android platform did not create a direct market substitute was not strong enough to displace the counter argument that Google’s copying significantly affected Sun’s market. As Justice Thomas puts it,</w:t>
      </w:r>
      <w:r w:rsidR="000171C2">
        <w:t xml:space="preserve"> </w:t>
      </w:r>
      <w:r w:rsidR="003D7176">
        <w:t xml:space="preserve">evidence at the Trial Court </w:t>
      </w:r>
      <w:r w:rsidR="000171C2">
        <w:t>shows that</w:t>
      </w:r>
      <w:r w:rsidR="0085075A">
        <w:t xml:space="preserve"> “Google decimated Oracle’s</w:t>
      </w:r>
      <w:r w:rsidR="000171C2">
        <w:t xml:space="preserve"> </w:t>
      </w:r>
      <w:r w:rsidR="0085075A">
        <w:t>market and created a mobile operating system now in over 2.5 billion actively used devices, earning tens of billions of dollars every year.”</w:t>
      </w:r>
    </w:p>
    <w:p w14:paraId="0096B679" w14:textId="59F8B6B7" w:rsidR="00045265" w:rsidRDefault="00045265" w:rsidP="00A67C8A">
      <w:pPr>
        <w:jc w:val="both"/>
      </w:pPr>
      <w:r>
        <w:t xml:space="preserve">The minority </w:t>
      </w:r>
      <w:r w:rsidR="000171C2">
        <w:t xml:space="preserve">opinion </w:t>
      </w:r>
      <w:r>
        <w:t xml:space="preserve">is particularly </w:t>
      </w:r>
      <w:r w:rsidR="00B1637D">
        <w:t>apt</w:t>
      </w:r>
      <w:r>
        <w:t xml:space="preserve"> when it faulted the majority reasoning that the market effects was minimal in that there was no evidence that Oracle could have </w:t>
      </w:r>
      <w:r w:rsidR="00E25DF1">
        <w:t>enter the smartphone successfully thus:</w:t>
      </w:r>
    </w:p>
    <w:p w14:paraId="74312B5D" w14:textId="358679C0" w:rsidR="000928E7" w:rsidRPr="000171C2" w:rsidRDefault="00E25DF1" w:rsidP="00B1637D">
      <w:pPr>
        <w:ind w:left="720" w:right="720"/>
        <w:jc w:val="both"/>
        <w:rPr>
          <w:sz w:val="20"/>
          <w:szCs w:val="20"/>
        </w:rPr>
      </w:pPr>
      <w:r w:rsidRPr="000171C2">
        <w:rPr>
          <w:sz w:val="20"/>
          <w:szCs w:val="20"/>
        </w:rPr>
        <w:t>“We look at not only the potential market “that creators of original works would in general develop” but also those potential markets the copyright holder</w:t>
      </w:r>
      <w:r w:rsidR="000171C2" w:rsidRPr="000171C2">
        <w:rPr>
          <w:sz w:val="20"/>
          <w:szCs w:val="20"/>
        </w:rPr>
        <w:t xml:space="preserve"> </w:t>
      </w:r>
      <w:r w:rsidRPr="000171C2">
        <w:rPr>
          <w:sz w:val="20"/>
          <w:szCs w:val="20"/>
        </w:rPr>
        <w:t>might “license others to develop.” Campbell v. Acuff-Rose Music, Inc., 510 U. S. 569, 592 (1994).”</w:t>
      </w:r>
      <w:r w:rsidR="00B1637D">
        <w:rPr>
          <w:rStyle w:val="FootnoteReference"/>
          <w:sz w:val="20"/>
          <w:szCs w:val="20"/>
        </w:rPr>
        <w:footnoteReference w:id="21"/>
      </w:r>
    </w:p>
    <w:p w14:paraId="0DCDD521" w14:textId="61684012" w:rsidR="000171C2" w:rsidRDefault="00B1637D" w:rsidP="00A67C8A">
      <w:pPr>
        <w:jc w:val="both"/>
      </w:pPr>
      <w:r>
        <w:t>Moving away from the market effect point, the Writer does</w:t>
      </w:r>
      <w:r w:rsidR="005456FC">
        <w:t xml:space="preserve"> not</w:t>
      </w:r>
      <w:r>
        <w:t xml:space="preserve"> find </w:t>
      </w:r>
      <w:r w:rsidR="000928E7">
        <w:t>Justice Thomas</w:t>
      </w:r>
      <w:r>
        <w:t>’ explanation on the possible lock-in effect of co</w:t>
      </w:r>
      <w:r w:rsidR="001374AD">
        <w:t>pyrighting the API convincing. According to the learned jurist, the case</w:t>
      </w:r>
      <w:r w:rsidR="000928E7">
        <w:t xml:space="preserve"> only concerned versions of Andriod released through November 2014 and not the newer versions </w:t>
      </w:r>
      <w:r w:rsidR="001374AD">
        <w:t>and as such,</w:t>
      </w:r>
      <w:r w:rsidR="000928E7">
        <w:t xml:space="preserve"> “the </w:t>
      </w:r>
      <w:r w:rsidR="000928E7" w:rsidRPr="000928E7">
        <w:t>majority’s concern about a lock-in effect might carry more weight if this</w:t>
      </w:r>
      <w:r w:rsidR="000171C2">
        <w:t xml:space="preserve"> </w:t>
      </w:r>
      <w:r w:rsidR="000928E7" w:rsidRPr="000928E7">
        <w:t>suit concerned versions of Android widely in use or that will</w:t>
      </w:r>
      <w:r w:rsidR="00FC1045">
        <w:t xml:space="preserve"> </w:t>
      </w:r>
      <w:r w:rsidR="000928E7" w:rsidRPr="000928E7">
        <w:t>be widely in use</w:t>
      </w:r>
      <w:r w:rsidR="000928E7">
        <w:t xml:space="preserve">”. </w:t>
      </w:r>
      <w:r w:rsidR="007C0E50">
        <w:rPr>
          <w:rStyle w:val="FootnoteReference"/>
        </w:rPr>
        <w:footnoteReference w:id="22"/>
      </w:r>
      <w:r w:rsidR="000928E7">
        <w:t>The writer expresses reservation here as it cannot be denied that the original Andriod system (using Java</w:t>
      </w:r>
      <w:r w:rsidR="00FC1045">
        <w:t xml:space="preserve"> Lang</w:t>
      </w:r>
      <w:r w:rsidR="000928E7">
        <w:t>) was what paved way for the newer versions</w:t>
      </w:r>
      <w:r w:rsidR="007C0E50">
        <w:t xml:space="preserve">, which </w:t>
      </w:r>
      <w:r w:rsidR="000928E7">
        <w:t xml:space="preserve">might not have been so if Andriod was not able to use Java at inception. The lock-in effect was thus not </w:t>
      </w:r>
      <w:r w:rsidR="000171C2">
        <w:t>imaginary</w:t>
      </w:r>
      <w:r w:rsidR="000928E7">
        <w:t xml:space="preserve"> as Justice Thomas would rather have us to believe. The example of Apple and Microsoft creating their own operating </w:t>
      </w:r>
      <w:r w:rsidR="000171C2">
        <w:t>systems</w:t>
      </w:r>
      <w:r w:rsidR="000928E7">
        <w:t xml:space="preserve"> without suing Oracle declaring order was however compelling.</w:t>
      </w:r>
      <w:r w:rsidR="00373D86">
        <w:t xml:space="preserve"> </w:t>
      </w:r>
    </w:p>
    <w:p w14:paraId="6899F5B6" w14:textId="4D2EC162" w:rsidR="006053A3" w:rsidRDefault="000171C2" w:rsidP="00A67C8A">
      <w:pPr>
        <w:jc w:val="both"/>
      </w:pPr>
      <w:r>
        <w:t xml:space="preserve">The Writer </w:t>
      </w:r>
      <w:r w:rsidR="00373D86">
        <w:t>believe</w:t>
      </w:r>
      <w:r>
        <w:t>s</w:t>
      </w:r>
      <w:r w:rsidR="00373D86">
        <w:t xml:space="preserve"> Justice Thomas</w:t>
      </w:r>
      <w:r w:rsidR="00FC1045">
        <w:t>’</w:t>
      </w:r>
      <w:r w:rsidR="00373D86">
        <w:t xml:space="preserve"> reference to the Google’s recent fin</w:t>
      </w:r>
      <w:r w:rsidR="00FC1045">
        <w:t>e</w:t>
      </w:r>
      <w:r w:rsidR="00373D86">
        <w:t xml:space="preserve"> of $5 </w:t>
      </w:r>
      <w:r w:rsidR="00FC1045">
        <w:t>Billion</w:t>
      </w:r>
      <w:r w:rsidR="00E32066">
        <w:t xml:space="preserve"> on antitrust violation </w:t>
      </w:r>
      <w:r w:rsidR="007C0E50">
        <w:t>is</w:t>
      </w:r>
      <w:r w:rsidR="00E32066">
        <w:t xml:space="preserve"> extraneous to the instant suit.</w:t>
      </w:r>
    </w:p>
    <w:p w14:paraId="0757182F" w14:textId="7C158B5A" w:rsidR="006053A3" w:rsidRDefault="006053A3" w:rsidP="00A67C8A">
      <w:pPr>
        <w:jc w:val="both"/>
        <w:rPr>
          <w:rFonts w:cs="Century Schoolbook"/>
          <w:color w:val="000000"/>
        </w:rPr>
      </w:pPr>
      <w:r>
        <w:lastRenderedPageBreak/>
        <w:t>The writer equally finds Justice Thomas’ point that Google’s use (i.e. “</w:t>
      </w:r>
      <w:r w:rsidRPr="006053A3">
        <w:t>repurposing of Java code from</w:t>
      </w:r>
      <w:r w:rsidR="00FC1045">
        <w:t xml:space="preserve"> </w:t>
      </w:r>
      <w:r w:rsidRPr="006053A3">
        <w:t>larger computers to smaller computers</w:t>
      </w:r>
      <w:r w:rsidR="00FC1045">
        <w:t>”</w:t>
      </w:r>
      <w:r>
        <w:t xml:space="preserve">) did not resemble any of the guided examples of fair use in </w:t>
      </w:r>
      <w:r>
        <w:rPr>
          <w:rFonts w:cs="Century Schoolbook"/>
          <w:color w:val="000000"/>
        </w:rPr>
        <w:t>§107 wrong</w:t>
      </w:r>
      <w:r w:rsidR="00FC1045">
        <w:rPr>
          <w:rFonts w:cs="Century Schoolbook"/>
          <w:color w:val="000000"/>
        </w:rPr>
        <w:t xml:space="preserve"> - </w:t>
      </w:r>
      <w:r>
        <w:rPr>
          <w:rFonts w:cs="Century Schoolbook"/>
          <w:color w:val="000000"/>
        </w:rPr>
        <w:t xml:space="preserve"> as admitted by the learned jurist, the list </w:t>
      </w:r>
      <w:r w:rsidR="00FC1045">
        <w:rPr>
          <w:rFonts w:cs="Century Schoolbook"/>
          <w:color w:val="000000"/>
        </w:rPr>
        <w:t>is</w:t>
      </w:r>
      <w:r>
        <w:rPr>
          <w:rFonts w:cs="Century Schoolbook"/>
          <w:color w:val="000000"/>
        </w:rPr>
        <w:t xml:space="preserve"> not exhaust</w:t>
      </w:r>
      <w:r w:rsidR="00FC1045">
        <w:rPr>
          <w:rFonts w:cs="Century Schoolbook"/>
          <w:color w:val="000000"/>
        </w:rPr>
        <w:t>ive</w:t>
      </w:r>
      <w:r>
        <w:rPr>
          <w:rFonts w:cs="Century Schoolbook"/>
          <w:color w:val="000000"/>
        </w:rPr>
        <w:t xml:space="preserve">. Rather, the </w:t>
      </w:r>
      <w:r w:rsidR="00FC1045">
        <w:rPr>
          <w:rFonts w:cs="Century Schoolbook"/>
          <w:color w:val="000000"/>
        </w:rPr>
        <w:t>majority</w:t>
      </w:r>
      <w:r>
        <w:rPr>
          <w:rFonts w:cs="Century Schoolbook"/>
          <w:color w:val="000000"/>
        </w:rPr>
        <w:t xml:space="preserve"> opinion that the Google</w:t>
      </w:r>
      <w:r w:rsidR="00FC1045">
        <w:rPr>
          <w:rFonts w:cs="Century Schoolbook"/>
          <w:color w:val="000000"/>
        </w:rPr>
        <w:t>’s</w:t>
      </w:r>
      <w:r>
        <w:rPr>
          <w:rFonts w:cs="Century Schoolbook"/>
          <w:color w:val="000000"/>
        </w:rPr>
        <w:t xml:space="preserve"> reimplement</w:t>
      </w:r>
      <w:r w:rsidR="00FC1045">
        <w:rPr>
          <w:rFonts w:cs="Century Schoolbook"/>
          <w:color w:val="000000"/>
        </w:rPr>
        <w:t xml:space="preserve">ation of </w:t>
      </w:r>
      <w:r>
        <w:rPr>
          <w:rFonts w:cs="Century Schoolbook"/>
          <w:color w:val="000000"/>
        </w:rPr>
        <w:t xml:space="preserve">the API in another system </w:t>
      </w:r>
      <w:r w:rsidR="00FC1045">
        <w:rPr>
          <w:rFonts w:cs="Century Schoolbook"/>
          <w:color w:val="000000"/>
        </w:rPr>
        <w:t xml:space="preserve">is a transformative use is </w:t>
      </w:r>
      <w:r>
        <w:rPr>
          <w:rFonts w:cs="Century Schoolbook"/>
          <w:color w:val="000000"/>
        </w:rPr>
        <w:t xml:space="preserve">altogether </w:t>
      </w:r>
      <w:r w:rsidR="00636CEE">
        <w:rPr>
          <w:rFonts w:cs="Century Schoolbook"/>
          <w:color w:val="000000"/>
        </w:rPr>
        <w:t>compelling.</w:t>
      </w:r>
    </w:p>
    <w:p w14:paraId="39CD9B60" w14:textId="101D8364" w:rsidR="001A370E" w:rsidRPr="00964887" w:rsidRDefault="00C52F46" w:rsidP="001A370E">
      <w:pPr>
        <w:jc w:val="both"/>
      </w:pPr>
      <w:r>
        <w:t xml:space="preserve">In all, the Writer finds that the judgment is generally fair </w:t>
      </w:r>
      <w:r w:rsidR="00633680">
        <w:t xml:space="preserve">as experts have argued that copyrighting APIs could stultify creativity and result in lock-in. </w:t>
      </w:r>
      <w:r w:rsidR="001A370E">
        <w:t xml:space="preserve"> In the words of </w:t>
      </w:r>
      <w:r w:rsidR="00633680">
        <w:t>MacDonald</w:t>
      </w:r>
      <w:r w:rsidR="002705DB">
        <w:t>, “Google is correct about how developers implement APIs. Copying software interfaces enables developers to create products that function on multiple platforms. What's important to remember is that APIs are not source code for popular products. They're software's street pavement, or scaffolding. They make it possible to create products that customers can use wherever they need them. In addition, software development in recent years has evolved to make APIs less relevant”.</w:t>
      </w:r>
      <w:r w:rsidR="002705DB">
        <w:rPr>
          <w:rStyle w:val="FootnoteReference"/>
        </w:rPr>
        <w:footnoteReference w:id="23"/>
      </w:r>
      <w:r w:rsidR="00D2256F">
        <w:t xml:space="preserve"> In th</w:t>
      </w:r>
      <w:r w:rsidR="004E176A">
        <w:t xml:space="preserve">is </w:t>
      </w:r>
      <w:r w:rsidR="00D2256F">
        <w:t xml:space="preserve">regard, MacDonald argues that  a finding that APIs are copyrightable could prompt opportunists to sue developers </w:t>
      </w:r>
      <w:r w:rsidR="002767B9">
        <w:t>who included APIs in their products and invariably harm smaller software developers.</w:t>
      </w:r>
    </w:p>
    <w:p w14:paraId="3E11487B" w14:textId="5746477A" w:rsidR="00DD3222" w:rsidRPr="00964887" w:rsidRDefault="00964887" w:rsidP="001A370E">
      <w:pPr>
        <w:jc w:val="both"/>
      </w:pPr>
      <w:r w:rsidRPr="00964887">
        <w:t>In addition, many analysts</w:t>
      </w:r>
      <w:r w:rsidR="00DD3222" w:rsidRPr="00964887">
        <w:t xml:space="preserve"> have also argued that the current practice is to share knowledge, which in turn enable</w:t>
      </w:r>
      <w:r w:rsidR="004E176A">
        <w:t>s</w:t>
      </w:r>
      <w:r w:rsidR="00DD3222" w:rsidRPr="00964887">
        <w:t xml:space="preserve"> interoperability and creation o</w:t>
      </w:r>
      <w:r w:rsidR="00612B85" w:rsidRPr="00964887">
        <w:t>f standards. For instance, examples are cited: Microsoft created a Linux subsystem for Windows and introduced Bash, the Unix command-line tool for working with source code, to Windows. Also, Facebook developed GraphQL and made it available to everyone. Google did much the same thing when it created Kubernetes, the open-source platform that's becoming a standard for managing containerized workloads.</w:t>
      </w:r>
      <w:r w:rsidR="000E5B6D">
        <w:rPr>
          <w:rStyle w:val="FootnoteReference"/>
        </w:rPr>
        <w:footnoteReference w:id="24"/>
      </w:r>
    </w:p>
    <w:p w14:paraId="49D4932A" w14:textId="7B1E8C2B" w:rsidR="00F6248A" w:rsidRPr="00964887" w:rsidRDefault="00F6248A" w:rsidP="001A370E">
      <w:pPr>
        <w:jc w:val="both"/>
      </w:pPr>
    </w:p>
    <w:p w14:paraId="4867D537" w14:textId="12AD6710" w:rsidR="009639BC" w:rsidRPr="0044231B" w:rsidRDefault="009639BC" w:rsidP="00DD3222">
      <w:pPr>
        <w:rPr>
          <w:b/>
          <w:bCs/>
        </w:rPr>
      </w:pPr>
      <w:r w:rsidRPr="0044231B">
        <w:rPr>
          <w:b/>
          <w:bCs/>
        </w:rPr>
        <w:t>The Nigerian Context</w:t>
      </w:r>
    </w:p>
    <w:p w14:paraId="18346BEA" w14:textId="6203E347" w:rsidR="00A52051" w:rsidRPr="0044231B" w:rsidRDefault="009639BC" w:rsidP="0044231B">
      <w:pPr>
        <w:rPr>
          <w:b/>
          <w:bCs/>
        </w:rPr>
      </w:pPr>
      <w:r w:rsidRPr="0044231B">
        <w:rPr>
          <w:b/>
          <w:bCs/>
        </w:rPr>
        <w:t xml:space="preserve"> </w:t>
      </w:r>
      <w:r w:rsidR="0044231B" w:rsidRPr="0044231B">
        <w:rPr>
          <w:b/>
          <w:bCs/>
        </w:rPr>
        <w:t>Implications on Nigerian Regulatory Landscape</w:t>
      </w:r>
    </w:p>
    <w:p w14:paraId="7FD9D769" w14:textId="1A676F70" w:rsidR="0044231B" w:rsidRPr="0044231B" w:rsidRDefault="004E176A" w:rsidP="004E176A">
      <w:pPr>
        <w:jc w:val="both"/>
      </w:pPr>
      <w:r>
        <w:t xml:space="preserve">It is trite law that </w:t>
      </w:r>
      <w:r w:rsidR="0044231B" w:rsidRPr="0044231B">
        <w:t>Nigerian courts are not bound by foreign decisions.</w:t>
      </w:r>
      <w:r w:rsidR="0044231B" w:rsidRPr="004E176A">
        <w:rPr>
          <w:rStyle w:val="FootnoteReference"/>
        </w:rPr>
        <w:footnoteReference w:id="25"/>
      </w:r>
      <w:r w:rsidR="0044231B" w:rsidRPr="004E176A">
        <w:t xml:space="preserve"> </w:t>
      </w:r>
      <w:r w:rsidR="0044231B" w:rsidRPr="0044231B">
        <w:t>However, foreign landmark decisions on very novel issues of law, serve as a useful guidance for courts in Nigeria.</w:t>
      </w:r>
    </w:p>
    <w:p w14:paraId="4B95D6F3" w14:textId="211B49A6" w:rsidR="00807067" w:rsidRPr="004E176A" w:rsidRDefault="0044231B" w:rsidP="004E176A">
      <w:pPr>
        <w:jc w:val="both"/>
      </w:pPr>
      <w:r w:rsidRPr="004E176A">
        <w:t>Although S</w:t>
      </w:r>
      <w:r w:rsidR="004E176A">
        <w:t xml:space="preserve">ections </w:t>
      </w:r>
      <w:r w:rsidRPr="004E176A">
        <w:t>1(1) and 39(1)</w:t>
      </w:r>
      <w:r w:rsidR="005C6F79" w:rsidRPr="004E176A">
        <w:rPr>
          <w:rStyle w:val="FootnoteReference"/>
        </w:rPr>
        <w:footnoteReference w:id="26"/>
      </w:r>
      <w:r w:rsidRPr="004E176A">
        <w:t xml:space="preserve"> of the Copyright Act recognise computer programmes as copyrightable literary work, there is currently a dearth of cases giving a direction on whether interfaces (specifically declaring codes) are copyrightable in Nigeria.</w:t>
      </w:r>
    </w:p>
    <w:p w14:paraId="0A8740BD" w14:textId="2D72E641" w:rsidR="0044231B" w:rsidRPr="0044231B" w:rsidRDefault="0044231B" w:rsidP="004E176A">
      <w:pPr>
        <w:jc w:val="both"/>
      </w:pPr>
      <w:r w:rsidRPr="004E176A">
        <w:t>Upholding this principle in</w:t>
      </w:r>
      <w:r w:rsidRPr="0044231B">
        <w:t xml:space="preserve"> </w:t>
      </w:r>
      <w:r w:rsidRPr="0044231B">
        <w:rPr>
          <w:i/>
          <w:iCs/>
        </w:rPr>
        <w:t>Omega Bank Plc.</w:t>
      </w:r>
      <w:r w:rsidRPr="004E176A">
        <w:rPr>
          <w:i/>
          <w:iCs/>
        </w:rPr>
        <w:t xml:space="preserve"> </w:t>
      </w:r>
      <w:r w:rsidRPr="0044231B">
        <w:rPr>
          <w:i/>
          <w:iCs/>
        </w:rPr>
        <w:t>v. Govt. Ekiti State</w:t>
      </w:r>
      <w:r w:rsidRPr="0044231B">
        <w:t xml:space="preserve"> (2007) 16 NWLR (Pt. 1061) 445 at 468, paras. D - H; 481, paras. F - G (CA), the Court of Appeal held thus:</w:t>
      </w:r>
    </w:p>
    <w:p w14:paraId="718A5923" w14:textId="7CDF5A96" w:rsidR="0044231B" w:rsidRPr="0044231B" w:rsidRDefault="0044231B" w:rsidP="0044231B">
      <w:pPr>
        <w:ind w:left="1440" w:right="720"/>
        <w:jc w:val="both"/>
        <w:rPr>
          <w:sz w:val="20"/>
          <w:szCs w:val="20"/>
        </w:rPr>
      </w:pPr>
      <w:r w:rsidRPr="0044231B">
        <w:rPr>
          <w:sz w:val="20"/>
          <w:szCs w:val="20"/>
        </w:rPr>
        <w:lastRenderedPageBreak/>
        <w:t>Where there are no known Nigerian decisions on a principle of law,..Even though the decisions do not serve as binding precedents for our courts, they serve as useful guides in arriving at just decisions, where thorough examination of the implications of those judgments vis-a-vis our law and peculiar facts of the case are made…</w:t>
      </w:r>
    </w:p>
    <w:p w14:paraId="638A95DE" w14:textId="1972205D" w:rsidR="0044231B" w:rsidRPr="004E176A" w:rsidRDefault="0044231B" w:rsidP="004E176A">
      <w:pPr>
        <w:jc w:val="both"/>
      </w:pPr>
      <w:r w:rsidRPr="0044231B">
        <w:t>Apart from</w:t>
      </w:r>
      <w:r w:rsidRPr="004E176A">
        <w:t xml:space="preserve"> the impact the case could have on Nigerian justice sector</w:t>
      </w:r>
      <w:r w:rsidRPr="0044231B">
        <w:t>, decisions as this could inspire overhauling of our laws.</w:t>
      </w:r>
    </w:p>
    <w:p w14:paraId="6B905962" w14:textId="38F4BB02" w:rsidR="0044231B" w:rsidRDefault="0044231B" w:rsidP="0044231B">
      <w:pPr>
        <w:rPr>
          <w:b/>
          <w:bCs/>
        </w:rPr>
      </w:pPr>
      <w:r w:rsidRPr="0044231B">
        <w:rPr>
          <w:b/>
          <w:bCs/>
        </w:rPr>
        <w:t xml:space="preserve">Implications on Nigerian </w:t>
      </w:r>
      <w:r w:rsidR="00AF7D23">
        <w:rPr>
          <w:b/>
          <w:bCs/>
        </w:rPr>
        <w:t>Tech</w:t>
      </w:r>
      <w:r w:rsidRPr="0044231B">
        <w:rPr>
          <w:b/>
          <w:bCs/>
        </w:rPr>
        <w:t xml:space="preserve"> Landscape</w:t>
      </w:r>
    </w:p>
    <w:p w14:paraId="6D1F84BC" w14:textId="2619E0A6" w:rsidR="0044231B" w:rsidRPr="0044231B" w:rsidRDefault="0044231B" w:rsidP="00854659">
      <w:pPr>
        <w:jc w:val="both"/>
      </w:pPr>
      <w:r w:rsidRPr="0044231B">
        <w:t>For their part, stakeholders in the Tech Landscape would not only find this decision a guide (to the extent of its persuasiveness on the Nigerian Courts) in taking any step, it would generally provide insight into how to manage their dealings.</w:t>
      </w:r>
      <w:r w:rsidR="004E176A">
        <w:t xml:space="preserve"> </w:t>
      </w:r>
      <w:r w:rsidRPr="0044231B">
        <w:t xml:space="preserve">It cannot be overemphasised, the need for Tech players to guard their IP assets and particularly encrypt codes as </w:t>
      </w:r>
      <w:r w:rsidR="00854659">
        <w:t>this case</w:t>
      </w:r>
      <w:r w:rsidRPr="0044231B">
        <w:t xml:space="preserve"> has shown, public policy may be in favour of an </w:t>
      </w:r>
      <w:r w:rsidRPr="0044231B">
        <w:rPr>
          <w:i/>
          <w:iCs/>
        </w:rPr>
        <w:t>infringer</w:t>
      </w:r>
      <w:r w:rsidRPr="0044231B">
        <w:t xml:space="preserve">. </w:t>
      </w:r>
    </w:p>
    <w:p w14:paraId="44C5C48E" w14:textId="3B454A03" w:rsidR="0044231B" w:rsidRDefault="0044231B" w:rsidP="00854659">
      <w:pPr>
        <w:jc w:val="both"/>
      </w:pPr>
      <w:r w:rsidRPr="00854659">
        <w:t>Nigerian subsidiaries of US Tech Co</w:t>
      </w:r>
      <w:r w:rsidR="00854659">
        <w:t xml:space="preserve">mpanies </w:t>
      </w:r>
      <w:r w:rsidRPr="00854659">
        <w:t xml:space="preserve">are particularly advised to seek clarifications on the impacts of the decision on their activities </w:t>
      </w:r>
      <w:r w:rsidRPr="005C6F79">
        <w:rPr>
          <w:i/>
          <w:iCs/>
        </w:rPr>
        <w:t>vis a vis</w:t>
      </w:r>
      <w:r w:rsidRPr="00854659">
        <w:t xml:space="preserve"> those of their parent c</w:t>
      </w:r>
      <w:r w:rsidR="005C6F79">
        <w:t>ompanies.</w:t>
      </w:r>
    </w:p>
    <w:p w14:paraId="271B3771" w14:textId="49CC0A7C" w:rsidR="005C6F79" w:rsidRPr="005C6F79" w:rsidRDefault="005C6F79" w:rsidP="005C6F79">
      <w:pPr>
        <w:jc w:val="both"/>
      </w:pPr>
      <w:r w:rsidRPr="005C6F79">
        <w:t>Also, the impact of the decision on players in the Nigerian Tech ecosystem, as elsewhere, would largely depend on their business models.</w:t>
      </w:r>
      <w:r>
        <w:t xml:space="preserve"> </w:t>
      </w:r>
      <w:r w:rsidRPr="005C6F79">
        <w:t>For instance, while Oracle earned revenue by charging device manufacturers to install the Java</w:t>
      </w:r>
      <w:r w:rsidR="004E176A">
        <w:t xml:space="preserve"> </w:t>
      </w:r>
      <w:r w:rsidRPr="005C6F79">
        <w:t xml:space="preserve">platform, Google obtained revenue primarily through ad sales. </w:t>
      </w:r>
    </w:p>
    <w:p w14:paraId="5A2AAB50" w14:textId="77777777" w:rsidR="005C6F79" w:rsidRPr="005C6F79" w:rsidRDefault="005C6F79" w:rsidP="005C6F79">
      <w:pPr>
        <w:jc w:val="both"/>
      </w:pPr>
      <w:r w:rsidRPr="005C6F79">
        <w:t xml:space="preserve">Google’s strategy is mostly to release its products to device manufacturers for free as a vehicle to collect data on consumers and deliver behavioral ads. </w:t>
      </w:r>
    </w:p>
    <w:p w14:paraId="1CA3E85A" w14:textId="33BB0A25" w:rsidR="005B4A02" w:rsidRPr="00BC176E" w:rsidRDefault="005C6F79" w:rsidP="00BC176E">
      <w:pPr>
        <w:jc w:val="both"/>
      </w:pPr>
      <w:r w:rsidRPr="005C6F79">
        <w:t>Definitely, for Oracle and players implementing its model, the decision is a huge set back, but a win to Google and its “disciples”.</w:t>
      </w:r>
    </w:p>
    <w:p w14:paraId="44C33B23" w14:textId="7C23284A" w:rsidR="005C6F79" w:rsidRPr="00BC176E" w:rsidRDefault="005C6F79" w:rsidP="00E029F5">
      <w:pPr>
        <w:rPr>
          <w:b/>
          <w:bCs/>
        </w:rPr>
      </w:pPr>
      <w:r w:rsidRPr="00BC176E">
        <w:rPr>
          <w:b/>
          <w:bCs/>
        </w:rPr>
        <w:t>Conclusion and Recommendation</w:t>
      </w:r>
    </w:p>
    <w:p w14:paraId="5BDBA6D7" w14:textId="7AFC71D7" w:rsidR="00BC176E" w:rsidRPr="00BC176E" w:rsidRDefault="005C6F79" w:rsidP="00BC176E">
      <w:pPr>
        <w:jc w:val="both"/>
      </w:pPr>
      <w:r w:rsidRPr="00BC176E">
        <w:t>This paper ha</w:t>
      </w:r>
      <w:r w:rsidR="004E176A">
        <w:t>s examined</w:t>
      </w:r>
      <w:r w:rsidRPr="00BC176E">
        <w:t xml:space="preserve"> the landmark effect of the SCOTUS’ decision in </w:t>
      </w:r>
      <w:r w:rsidRPr="004E176A">
        <w:rPr>
          <w:i/>
          <w:iCs/>
        </w:rPr>
        <w:t>Google v Oracle</w:t>
      </w:r>
      <w:r w:rsidRPr="00BC176E">
        <w:t xml:space="preserve"> by considering the fine details, including the reasonings informing both the majority and the dissenting opinions. </w:t>
      </w:r>
    </w:p>
    <w:p w14:paraId="0A0D25B5" w14:textId="3BAF5D62" w:rsidR="00BC176E" w:rsidRPr="00BC176E" w:rsidRDefault="00BC176E" w:rsidP="00BC176E">
      <w:pPr>
        <w:jc w:val="both"/>
      </w:pPr>
      <w:r w:rsidRPr="00BC176E">
        <w:t xml:space="preserve">Beyond </w:t>
      </w:r>
      <w:r w:rsidR="004E176A">
        <w:t xml:space="preserve">the </w:t>
      </w:r>
      <w:r w:rsidRPr="00BC176E">
        <w:t xml:space="preserve">high emotions that trailed the decision, a deep reflection is required to take in its implications on existing knowledge.  For a jurisdiction with a nascent IP regime as </w:t>
      </w:r>
      <w:r w:rsidR="004E176A">
        <w:t>Nigeria</w:t>
      </w:r>
      <w:r w:rsidRPr="00BC176E">
        <w:t>, reflecting on how the decision would influence epochal overhauling of</w:t>
      </w:r>
      <w:r w:rsidR="004E176A">
        <w:t xml:space="preserve"> her </w:t>
      </w:r>
      <w:r w:rsidRPr="00BC176E">
        <w:t>system</w:t>
      </w:r>
      <w:r w:rsidR="004E176A">
        <w:t>s</w:t>
      </w:r>
      <w:r w:rsidRPr="00BC176E">
        <w:t xml:space="preserve"> is all too important. </w:t>
      </w:r>
    </w:p>
    <w:p w14:paraId="356C5371" w14:textId="19688CDA" w:rsidR="00BC176E" w:rsidRPr="00BC176E" w:rsidRDefault="00BC176E" w:rsidP="00BC176E">
      <w:pPr>
        <w:jc w:val="both"/>
      </w:pPr>
      <w:r w:rsidRPr="00BC176E">
        <w:t>Players in Nigerian tech industry – an industry currently experiencing monumental boom – must be conversant with this decision as it may affect their dealings.</w:t>
      </w:r>
    </w:p>
    <w:p w14:paraId="4DE8BAC9" w14:textId="17C9E2DB" w:rsidR="00BC176E" w:rsidRPr="00BC176E" w:rsidRDefault="00BC176E" w:rsidP="00BC176E">
      <w:pPr>
        <w:jc w:val="both"/>
      </w:pPr>
      <w:r w:rsidRPr="00BC176E">
        <w:t>Members of the Bar, who often serve as intercessors between the Bench, the Regulators, the Tech Players, the Academia and Policy Makers, need to have sufficient grasp of their role of proffering proper advice in the wake of decisions as the one under review.</w:t>
      </w:r>
    </w:p>
    <w:p w14:paraId="68C6040E" w14:textId="1BC2D11F" w:rsidR="005C6F79" w:rsidRPr="005C6F79" w:rsidRDefault="00BC176E" w:rsidP="00BC176E">
      <w:pPr>
        <w:jc w:val="both"/>
      </w:pPr>
      <w:r w:rsidRPr="00BC176E">
        <w:t>Owing to the apparent difficulty in protecting software</w:t>
      </w:r>
      <w:r w:rsidR="004E176A">
        <w:t xml:space="preserve"> and computer codes</w:t>
      </w:r>
      <w:r w:rsidRPr="00BC176E">
        <w:t xml:space="preserve"> using </w:t>
      </w:r>
      <w:r w:rsidR="004E176A">
        <w:t xml:space="preserve">the </w:t>
      </w:r>
      <w:r w:rsidRPr="00BC176E">
        <w:t>copyright model which this case has revealed,</w:t>
      </w:r>
      <w:r w:rsidR="005C6F79" w:rsidRPr="00BC176E">
        <w:t xml:space="preserve"> the Writer joins</w:t>
      </w:r>
      <w:r w:rsidR="004E176A">
        <w:t xml:space="preserve"> </w:t>
      </w:r>
      <w:r w:rsidR="005C6F79" w:rsidRPr="00BC176E">
        <w:t>commentators su</w:t>
      </w:r>
      <w:r w:rsidR="005C6F79" w:rsidRPr="005C6F79">
        <w:t>ggest</w:t>
      </w:r>
      <w:r w:rsidR="005C6F79" w:rsidRPr="00BC176E">
        <w:t>ing</w:t>
      </w:r>
      <w:r w:rsidRPr="00BC176E">
        <w:t xml:space="preserve"> the</w:t>
      </w:r>
      <w:r w:rsidR="005C6F79" w:rsidRPr="005C6F79">
        <w:t xml:space="preserve"> need for a special regime for protection of software due to its peculiarities.</w:t>
      </w:r>
    </w:p>
    <w:p w14:paraId="6BCD93B2" w14:textId="3ADA4851" w:rsidR="005C6F79" w:rsidRPr="00BC176E" w:rsidRDefault="005C6F79" w:rsidP="00BC176E">
      <w:pPr>
        <w:jc w:val="both"/>
      </w:pPr>
      <w:r w:rsidRPr="005C6F79">
        <w:t xml:space="preserve">Also, it is recommended that subject matter experts are appointed as Nigerian Judges to enable them handle technical matters as this. </w:t>
      </w:r>
      <w:r w:rsidR="00BC176E" w:rsidRPr="00BC176E">
        <w:t xml:space="preserve"> </w:t>
      </w:r>
      <w:r w:rsidRPr="00BC176E">
        <w:t xml:space="preserve">As would be observed, the judgment of the SCOTUS and indeed records </w:t>
      </w:r>
      <w:r w:rsidRPr="00BC176E">
        <w:lastRenderedPageBreak/>
        <w:t>of proceedings right from the lower courts, included very technical points – meaning of APIs, its operations etc.</w:t>
      </w:r>
    </w:p>
    <w:sectPr w:rsidR="005C6F79" w:rsidRPr="00BC176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1BC4B" w14:textId="77777777" w:rsidR="00056438" w:rsidRDefault="00056438" w:rsidP="002705DB">
      <w:pPr>
        <w:spacing w:after="0" w:line="240" w:lineRule="auto"/>
      </w:pPr>
      <w:r>
        <w:separator/>
      </w:r>
    </w:p>
  </w:endnote>
  <w:endnote w:type="continuationSeparator" w:id="0">
    <w:p w14:paraId="3575570D" w14:textId="77777777" w:rsidR="00056438" w:rsidRDefault="00056438" w:rsidP="00270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Schoolbook">
    <w:altName w:val="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8C0BF" w14:textId="77777777" w:rsidR="00056438" w:rsidRDefault="00056438" w:rsidP="002705DB">
      <w:pPr>
        <w:spacing w:after="0" w:line="240" w:lineRule="auto"/>
      </w:pPr>
      <w:r>
        <w:separator/>
      </w:r>
    </w:p>
  </w:footnote>
  <w:footnote w:type="continuationSeparator" w:id="0">
    <w:p w14:paraId="31C43EEE" w14:textId="77777777" w:rsidR="00056438" w:rsidRDefault="00056438" w:rsidP="002705DB">
      <w:pPr>
        <w:spacing w:after="0" w:line="240" w:lineRule="auto"/>
      </w:pPr>
      <w:r>
        <w:continuationSeparator/>
      </w:r>
    </w:p>
  </w:footnote>
  <w:footnote w:id="1">
    <w:p w14:paraId="4105AA10" w14:textId="196AD575" w:rsidR="005B4A02" w:rsidRDefault="005B4A02">
      <w:pPr>
        <w:pStyle w:val="FootnoteText"/>
      </w:pPr>
      <w:r>
        <w:rPr>
          <w:rStyle w:val="FootnoteReference"/>
        </w:rPr>
        <w:footnoteRef/>
      </w:r>
      <w:r>
        <w:t xml:space="preserve"> Available at</w:t>
      </w:r>
      <w:r w:rsidR="0085525A">
        <w:t xml:space="preserve"> </w:t>
      </w:r>
      <w:hyperlink r:id="rId1" w:history="1">
        <w:r w:rsidR="0085525A" w:rsidRPr="00E3055E">
          <w:rPr>
            <w:rStyle w:val="Hyperlink"/>
          </w:rPr>
          <w:t>https://www.supremecourt.gov/opinions/20pdf/18-956_d18f.pdf</w:t>
        </w:r>
      </w:hyperlink>
      <w:r w:rsidR="0085525A">
        <w:t xml:space="preserve"> </w:t>
      </w:r>
    </w:p>
  </w:footnote>
  <w:footnote w:id="2">
    <w:p w14:paraId="42FAC074" w14:textId="726465A2" w:rsidR="00E852C6" w:rsidRPr="005C6F79" w:rsidRDefault="00E852C6" w:rsidP="005C6F79">
      <w:pPr>
        <w:pStyle w:val="FootnoteText"/>
        <w:jc w:val="both"/>
      </w:pPr>
      <w:r w:rsidRPr="005C6F79">
        <w:rPr>
          <w:rStyle w:val="FootnoteReference"/>
        </w:rPr>
        <w:footnoteRef/>
      </w:r>
      <w:r w:rsidRPr="005C6F79">
        <w:t xml:space="preserve">Bisola Scott, ‘Nigeria: Intellectual Property Protection for Software Rights in Nigeria’, </w:t>
      </w:r>
      <w:r w:rsidRPr="005C6F79">
        <w:rPr>
          <w:i/>
          <w:iCs/>
        </w:rPr>
        <w:t xml:space="preserve">Mondaq </w:t>
      </w:r>
      <w:r w:rsidR="005B4A02">
        <w:t xml:space="preserve">available at </w:t>
      </w:r>
      <w:hyperlink r:id="rId2" w:history="1">
        <w:r w:rsidR="005B4A02" w:rsidRPr="00E3055E">
          <w:rPr>
            <w:rStyle w:val="Hyperlink"/>
          </w:rPr>
          <w:t>https://www.mondaq.com/nigeria/trademark/830390/intellectual-property-protection-for-software-rights-in-nigeria</w:t>
        </w:r>
      </w:hyperlink>
      <w:r w:rsidR="00D01F1C" w:rsidRPr="005C6F79">
        <w:t xml:space="preserve">, accessed </w:t>
      </w:r>
      <w:r w:rsidR="006B1387" w:rsidRPr="005C6F79">
        <w:t>June 4, 2021</w:t>
      </w:r>
      <w:r w:rsidR="00D93E80">
        <w:t>.</w:t>
      </w:r>
    </w:p>
  </w:footnote>
  <w:footnote w:id="3">
    <w:p w14:paraId="30D0C177" w14:textId="109BF24A" w:rsidR="004C3880" w:rsidRPr="005C6F79" w:rsidRDefault="004C3880" w:rsidP="005C6F79">
      <w:pPr>
        <w:pStyle w:val="FootnoteText"/>
        <w:jc w:val="both"/>
      </w:pPr>
      <w:r w:rsidRPr="005C6F79">
        <w:rPr>
          <w:rStyle w:val="FootnoteReference"/>
        </w:rPr>
        <w:footnoteRef/>
      </w:r>
      <w:r w:rsidRPr="005C6F79">
        <w:t xml:space="preserve"> </w:t>
      </w:r>
      <w:r w:rsidR="00D01F1C" w:rsidRPr="005C6F79">
        <w:t xml:space="preserve">Jevon MacDonald, ‘API Copyright Cases Could Hurt the Software Sector’, </w:t>
      </w:r>
      <w:r w:rsidR="00D01F1C" w:rsidRPr="005C6F79">
        <w:rPr>
          <w:i/>
          <w:iCs/>
        </w:rPr>
        <w:t xml:space="preserve">Forbes </w:t>
      </w:r>
      <w:r w:rsidR="005B4A02">
        <w:t xml:space="preserve">available at </w:t>
      </w:r>
      <w:hyperlink r:id="rId3" w:history="1">
        <w:r w:rsidR="00D01F1C" w:rsidRPr="005C6F79">
          <w:rPr>
            <w:rStyle w:val="Hyperlink"/>
          </w:rPr>
          <w:t>https://www.forbes.com/sites/forbestechcouncil/2020/05/19/how-api-copyright-cases-could-hurt-the-software-sector/?sh=2744771573ce</w:t>
        </w:r>
      </w:hyperlink>
      <w:r w:rsidR="006B1387" w:rsidRPr="005C6F79">
        <w:rPr>
          <w:rStyle w:val="Hyperlink"/>
        </w:rPr>
        <w:t xml:space="preserve"> </w:t>
      </w:r>
      <w:r w:rsidR="006B1387" w:rsidRPr="005C6F79">
        <w:t>accessed June 4, 2021</w:t>
      </w:r>
      <w:r w:rsidR="00D93E80">
        <w:t>.</w:t>
      </w:r>
    </w:p>
    <w:p w14:paraId="369AEA87" w14:textId="530611A0" w:rsidR="00D01F1C" w:rsidRPr="005C6F79" w:rsidRDefault="00D01F1C" w:rsidP="005C6F79">
      <w:pPr>
        <w:pStyle w:val="FootnoteText"/>
        <w:jc w:val="both"/>
      </w:pPr>
    </w:p>
    <w:p w14:paraId="2ADF174B" w14:textId="77777777" w:rsidR="00D01F1C" w:rsidRPr="005C6F79" w:rsidRDefault="00D01F1C" w:rsidP="005C6F79">
      <w:pPr>
        <w:pStyle w:val="FootnoteText"/>
        <w:jc w:val="both"/>
      </w:pPr>
    </w:p>
  </w:footnote>
  <w:footnote w:id="4">
    <w:p w14:paraId="724C28BE" w14:textId="3AD35192" w:rsidR="00DB37C8" w:rsidRPr="005C6F79" w:rsidRDefault="00DB37C8" w:rsidP="005C6F79">
      <w:pPr>
        <w:pStyle w:val="FootnoteText"/>
        <w:jc w:val="both"/>
      </w:pPr>
      <w:r w:rsidRPr="005C6F79">
        <w:rPr>
          <w:rStyle w:val="FootnoteReference"/>
        </w:rPr>
        <w:footnoteRef/>
      </w:r>
      <w:r w:rsidRPr="005C6F79">
        <w:t xml:space="preserve"> Page 21 of the </w:t>
      </w:r>
      <w:r w:rsidR="005B4A02">
        <w:t>majority opinion.</w:t>
      </w:r>
    </w:p>
  </w:footnote>
  <w:footnote w:id="5">
    <w:p w14:paraId="4E160BC9" w14:textId="5DD77DAE" w:rsidR="00DB37C8" w:rsidRPr="005C6F79" w:rsidRDefault="00DB37C8" w:rsidP="005C6F79">
      <w:pPr>
        <w:pStyle w:val="FootnoteText"/>
        <w:jc w:val="both"/>
      </w:pPr>
      <w:r w:rsidRPr="005C6F79">
        <w:rPr>
          <w:rStyle w:val="FootnoteReference"/>
        </w:rPr>
        <w:footnoteRef/>
      </w:r>
      <w:r w:rsidRPr="005C6F79">
        <w:t xml:space="preserve"> Page 22 of the </w:t>
      </w:r>
      <w:r w:rsidR="00DE0103">
        <w:t>majority opinion.</w:t>
      </w:r>
    </w:p>
  </w:footnote>
  <w:footnote w:id="6">
    <w:p w14:paraId="39512328" w14:textId="1ECA20E1" w:rsidR="00DB37C8" w:rsidRPr="005C6F79" w:rsidRDefault="00DB37C8" w:rsidP="005C6F79">
      <w:pPr>
        <w:pStyle w:val="FootnoteText"/>
        <w:jc w:val="both"/>
      </w:pPr>
      <w:r w:rsidRPr="005C6F79">
        <w:rPr>
          <w:rStyle w:val="FootnoteReference"/>
        </w:rPr>
        <w:footnoteRef/>
      </w:r>
      <w:r w:rsidRPr="005C6F79">
        <w:t xml:space="preserve"> </w:t>
      </w:r>
      <w:r w:rsidRPr="00DE0103">
        <w:rPr>
          <w:i/>
          <w:iCs/>
        </w:rPr>
        <w:t>Ibid</w:t>
      </w:r>
    </w:p>
  </w:footnote>
  <w:footnote w:id="7">
    <w:p w14:paraId="3F27D1A7" w14:textId="615DC8B4" w:rsidR="00496042" w:rsidRPr="005C6F79" w:rsidRDefault="00496042" w:rsidP="005C6F79">
      <w:pPr>
        <w:pStyle w:val="FootnoteText"/>
        <w:jc w:val="both"/>
      </w:pPr>
      <w:r w:rsidRPr="005C6F79">
        <w:rPr>
          <w:rStyle w:val="FootnoteReference"/>
        </w:rPr>
        <w:footnoteRef/>
      </w:r>
      <w:r w:rsidRPr="005C6F79">
        <w:t xml:space="preserve"> Page 25 of the </w:t>
      </w:r>
      <w:r w:rsidR="00DE0103">
        <w:t>majority opinion.</w:t>
      </w:r>
    </w:p>
  </w:footnote>
  <w:footnote w:id="8">
    <w:p w14:paraId="51629FA1" w14:textId="3958E867" w:rsidR="00FC0B11" w:rsidRPr="005C6F79" w:rsidRDefault="00FC0B11" w:rsidP="005C6F79">
      <w:pPr>
        <w:pStyle w:val="FootnoteText"/>
        <w:jc w:val="both"/>
      </w:pPr>
      <w:r w:rsidRPr="005C6F79">
        <w:rPr>
          <w:rStyle w:val="FootnoteReference"/>
        </w:rPr>
        <w:footnoteRef/>
      </w:r>
      <w:r w:rsidRPr="005C6F79">
        <w:t xml:space="preserve"> Page 26 of the </w:t>
      </w:r>
      <w:r w:rsidR="00DE0103">
        <w:t>majority opinion.</w:t>
      </w:r>
    </w:p>
  </w:footnote>
  <w:footnote w:id="9">
    <w:p w14:paraId="55CDECBB" w14:textId="6FDAD637" w:rsidR="00781A07" w:rsidRPr="005C6F79" w:rsidRDefault="00781A07" w:rsidP="005C6F79">
      <w:pPr>
        <w:pStyle w:val="FootnoteText"/>
        <w:jc w:val="both"/>
      </w:pPr>
      <w:r w:rsidRPr="005C6F79">
        <w:rPr>
          <w:rStyle w:val="FootnoteReference"/>
        </w:rPr>
        <w:footnoteRef/>
      </w:r>
      <w:r w:rsidRPr="005C6F79">
        <w:t xml:space="preserve"> Page 28</w:t>
      </w:r>
      <w:r w:rsidR="00DE0103">
        <w:t xml:space="preserve"> of the majority opinion.</w:t>
      </w:r>
    </w:p>
  </w:footnote>
  <w:footnote w:id="10">
    <w:p w14:paraId="5970A53A" w14:textId="67073B80" w:rsidR="00F465B6" w:rsidRPr="005C6F79" w:rsidRDefault="00F465B6" w:rsidP="005C6F79">
      <w:pPr>
        <w:pStyle w:val="FootnoteText"/>
        <w:jc w:val="both"/>
      </w:pPr>
      <w:r w:rsidRPr="005C6F79">
        <w:rPr>
          <w:rStyle w:val="FootnoteReference"/>
        </w:rPr>
        <w:footnoteRef/>
      </w:r>
      <w:r w:rsidRPr="005C6F79">
        <w:t xml:space="preserve"> </w:t>
      </w:r>
      <w:r w:rsidRPr="00DE0103">
        <w:rPr>
          <w:i/>
          <w:iCs/>
        </w:rPr>
        <w:t>Ibid</w:t>
      </w:r>
    </w:p>
  </w:footnote>
  <w:footnote w:id="11">
    <w:p w14:paraId="42FB009E" w14:textId="6899F7EE" w:rsidR="000B1934" w:rsidRPr="005C6F79" w:rsidRDefault="000B1934" w:rsidP="005C6F79">
      <w:pPr>
        <w:pStyle w:val="FootnoteText"/>
        <w:jc w:val="both"/>
      </w:pPr>
      <w:r w:rsidRPr="005C6F79">
        <w:rPr>
          <w:rStyle w:val="FootnoteReference"/>
        </w:rPr>
        <w:footnoteRef/>
      </w:r>
      <w:r w:rsidRPr="005C6F79">
        <w:t xml:space="preserve"> Page 31 of the majority opinion</w:t>
      </w:r>
    </w:p>
  </w:footnote>
  <w:footnote w:id="12">
    <w:p w14:paraId="132570F7" w14:textId="22C3384F" w:rsidR="00B3466F" w:rsidRPr="005C6F79" w:rsidRDefault="00B3466F" w:rsidP="005C6F79">
      <w:pPr>
        <w:pStyle w:val="FootnoteText"/>
        <w:jc w:val="both"/>
      </w:pPr>
      <w:r w:rsidRPr="005C6F79">
        <w:rPr>
          <w:rStyle w:val="FootnoteReference"/>
        </w:rPr>
        <w:footnoteRef/>
      </w:r>
      <w:r w:rsidRPr="005C6F79">
        <w:t xml:space="preserve"> </w:t>
      </w:r>
      <w:r w:rsidRPr="004221B2">
        <w:rPr>
          <w:i/>
          <w:iCs/>
        </w:rPr>
        <w:t>Ibid</w:t>
      </w:r>
    </w:p>
  </w:footnote>
  <w:footnote w:id="13">
    <w:p w14:paraId="39542EA1" w14:textId="109DB7AB" w:rsidR="002351C0" w:rsidRPr="005C6F79" w:rsidRDefault="002351C0" w:rsidP="005C6F79">
      <w:pPr>
        <w:pStyle w:val="FootnoteText"/>
        <w:jc w:val="both"/>
      </w:pPr>
      <w:r w:rsidRPr="005C6F79">
        <w:rPr>
          <w:rStyle w:val="FootnoteReference"/>
        </w:rPr>
        <w:footnoteRef/>
      </w:r>
      <w:r w:rsidRPr="004221B2">
        <w:rPr>
          <w:i/>
          <w:iCs/>
        </w:rPr>
        <w:t xml:space="preserve"> Ibid</w:t>
      </w:r>
    </w:p>
  </w:footnote>
  <w:footnote w:id="14">
    <w:p w14:paraId="005A251B" w14:textId="7B049C2E" w:rsidR="00E4101B" w:rsidRPr="005C6F79" w:rsidRDefault="00E4101B" w:rsidP="005C6F79">
      <w:pPr>
        <w:pStyle w:val="FootnoteText"/>
        <w:jc w:val="both"/>
      </w:pPr>
      <w:r w:rsidRPr="005C6F79">
        <w:rPr>
          <w:rStyle w:val="FootnoteReference"/>
        </w:rPr>
        <w:footnoteRef/>
      </w:r>
      <w:r w:rsidRPr="005C6F79">
        <w:t xml:space="preserve"> Page 35</w:t>
      </w:r>
      <w:r w:rsidR="006A169C" w:rsidRPr="005C6F79">
        <w:t xml:space="preserve"> of the majority opinion</w:t>
      </w:r>
    </w:p>
  </w:footnote>
  <w:footnote w:id="15">
    <w:p w14:paraId="52BDA79C" w14:textId="4EDCB544" w:rsidR="006A169C" w:rsidRPr="005C6F79" w:rsidRDefault="006A169C" w:rsidP="005C6F79">
      <w:pPr>
        <w:pStyle w:val="FootnoteText"/>
        <w:jc w:val="both"/>
      </w:pPr>
      <w:r w:rsidRPr="005C6F79">
        <w:rPr>
          <w:rStyle w:val="FootnoteReference"/>
        </w:rPr>
        <w:footnoteRef/>
      </w:r>
      <w:r w:rsidRPr="005C6F79">
        <w:t xml:space="preserve"> Page 1 of the minority opinioj</w:t>
      </w:r>
    </w:p>
  </w:footnote>
  <w:footnote w:id="16">
    <w:p w14:paraId="538AA1B8" w14:textId="386EAB8B" w:rsidR="00764CF2" w:rsidRPr="005C6F79" w:rsidRDefault="00764CF2" w:rsidP="005C6F79">
      <w:pPr>
        <w:pStyle w:val="FootnoteText"/>
        <w:jc w:val="both"/>
      </w:pPr>
      <w:r w:rsidRPr="005C6F79">
        <w:rPr>
          <w:rStyle w:val="FootnoteReference"/>
        </w:rPr>
        <w:footnoteRef/>
      </w:r>
      <w:r w:rsidRPr="005C6F79">
        <w:t xml:space="preserve"> Page 10 of the minority opinion</w:t>
      </w:r>
    </w:p>
  </w:footnote>
  <w:footnote w:id="17">
    <w:p w14:paraId="6EEC82AD" w14:textId="0ADE6299" w:rsidR="00045265" w:rsidRPr="005C6F79" w:rsidRDefault="00045265" w:rsidP="005C6F79">
      <w:pPr>
        <w:pStyle w:val="FootnoteText"/>
        <w:jc w:val="both"/>
      </w:pPr>
      <w:r w:rsidRPr="005C6F79">
        <w:rPr>
          <w:rStyle w:val="FootnoteReference"/>
        </w:rPr>
        <w:footnoteRef/>
      </w:r>
      <w:r w:rsidRPr="005C6F79">
        <w:t xml:space="preserve"> Page 11 of the minority opinion</w:t>
      </w:r>
    </w:p>
  </w:footnote>
  <w:footnote w:id="18">
    <w:p w14:paraId="7D7521C0" w14:textId="49D432B3" w:rsidR="002E3D90" w:rsidRPr="005C6F79" w:rsidRDefault="002E3D90" w:rsidP="005C6F79">
      <w:pPr>
        <w:pStyle w:val="FootnoteText"/>
        <w:jc w:val="both"/>
      </w:pPr>
      <w:r w:rsidRPr="005C6F79">
        <w:rPr>
          <w:rStyle w:val="FootnoteReference"/>
        </w:rPr>
        <w:footnoteRef/>
      </w:r>
      <w:r w:rsidRPr="005C6F79">
        <w:t xml:space="preserve"> Page 17 of the minority opinion</w:t>
      </w:r>
    </w:p>
  </w:footnote>
  <w:footnote w:id="19">
    <w:p w14:paraId="7C6B1BA3" w14:textId="376794B4" w:rsidR="000B609E" w:rsidRPr="005C6F79" w:rsidRDefault="000B609E" w:rsidP="005C6F79">
      <w:pPr>
        <w:pStyle w:val="FootnoteText"/>
        <w:jc w:val="both"/>
      </w:pPr>
      <w:r w:rsidRPr="005C6F79">
        <w:rPr>
          <w:rStyle w:val="FootnoteReference"/>
        </w:rPr>
        <w:footnoteRef/>
      </w:r>
      <w:r w:rsidRPr="005C6F79">
        <w:t xml:space="preserve"> Page 18 of the minority opinion</w:t>
      </w:r>
    </w:p>
  </w:footnote>
  <w:footnote w:id="20">
    <w:p w14:paraId="11FE3468" w14:textId="0309B648" w:rsidR="00BB14D3" w:rsidRDefault="00BB14D3">
      <w:pPr>
        <w:pStyle w:val="FootnoteText"/>
      </w:pPr>
      <w:r>
        <w:rPr>
          <w:rStyle w:val="FootnoteReference"/>
        </w:rPr>
        <w:footnoteRef/>
      </w:r>
      <w:r>
        <w:t xml:space="preserve"> See page 18 of the minority opinion.</w:t>
      </w:r>
    </w:p>
  </w:footnote>
  <w:footnote w:id="21">
    <w:p w14:paraId="02F98A7A" w14:textId="0C3EDD35" w:rsidR="00B1637D" w:rsidRPr="005C6F79" w:rsidRDefault="00B1637D" w:rsidP="005C6F79">
      <w:pPr>
        <w:pStyle w:val="FootnoteText"/>
        <w:jc w:val="both"/>
      </w:pPr>
      <w:r w:rsidRPr="005C6F79">
        <w:rPr>
          <w:rStyle w:val="FootnoteReference"/>
        </w:rPr>
        <w:footnoteRef/>
      </w:r>
      <w:r w:rsidRPr="005C6F79">
        <w:t xml:space="preserve"> Page 13 of the minority opinion.</w:t>
      </w:r>
    </w:p>
  </w:footnote>
  <w:footnote w:id="22">
    <w:p w14:paraId="67E7584D" w14:textId="2B425C48" w:rsidR="007C0E50" w:rsidRDefault="007C0E50">
      <w:pPr>
        <w:pStyle w:val="FootnoteText"/>
      </w:pPr>
      <w:r>
        <w:rPr>
          <w:rStyle w:val="FootnoteReference"/>
        </w:rPr>
        <w:footnoteRef/>
      </w:r>
      <w:r>
        <w:t xml:space="preserve">  </w:t>
      </w:r>
      <w:r w:rsidRPr="007C0E50">
        <w:rPr>
          <w:i/>
          <w:iCs/>
        </w:rPr>
        <w:t>Ibid</w:t>
      </w:r>
    </w:p>
  </w:footnote>
  <w:footnote w:id="23">
    <w:p w14:paraId="1E450B49" w14:textId="7A23FF81" w:rsidR="000E2DC0" w:rsidRPr="005C6F79" w:rsidRDefault="000E2DC0" w:rsidP="005C6F79">
      <w:pPr>
        <w:pStyle w:val="FootnoteText"/>
        <w:jc w:val="both"/>
      </w:pPr>
      <w:r w:rsidRPr="005C6F79">
        <w:rPr>
          <w:rStyle w:val="FootnoteReference"/>
        </w:rPr>
        <w:footnoteRef/>
      </w:r>
      <w:r w:rsidRPr="005C6F79">
        <w:t xml:space="preserve"> Jevon MacDonald, ‘How API Copyright Cases Could Hurt The Software Sector’ </w:t>
      </w:r>
      <w:hyperlink r:id="rId4" w:history="1">
        <w:r w:rsidRPr="005C6F79">
          <w:rPr>
            <w:rStyle w:val="Hyperlink"/>
          </w:rPr>
          <w:t>https://www.forbes.com/sites/forbestechcouncil/2020/05/19/how-api-copyright-cases-could-hurt-the-software-sector/?sh=387efe0573ce</w:t>
        </w:r>
      </w:hyperlink>
      <w:r w:rsidRPr="005C6F79">
        <w:t xml:space="preserve"> accessed April 26, 2021</w:t>
      </w:r>
    </w:p>
    <w:p w14:paraId="57D18CEE" w14:textId="456D152A" w:rsidR="000E2DC0" w:rsidRPr="005C6F79" w:rsidRDefault="000E2DC0" w:rsidP="005C6F79">
      <w:pPr>
        <w:pStyle w:val="FootnoteText"/>
        <w:jc w:val="both"/>
      </w:pPr>
    </w:p>
  </w:footnote>
  <w:footnote w:id="24">
    <w:p w14:paraId="7B3760F4" w14:textId="0DFDE9CF" w:rsidR="000E5B6D" w:rsidRPr="005C6F79" w:rsidRDefault="000E5B6D" w:rsidP="004E176A">
      <w:pPr>
        <w:pStyle w:val="FootnoteText"/>
        <w:jc w:val="both"/>
      </w:pPr>
      <w:r w:rsidRPr="005C6F79">
        <w:rPr>
          <w:rStyle w:val="FootnoteReference"/>
        </w:rPr>
        <w:footnoteRef/>
      </w:r>
      <w:r w:rsidRPr="005C6F79">
        <w:t xml:space="preserve"> Ibid</w:t>
      </w:r>
    </w:p>
  </w:footnote>
  <w:footnote w:id="25">
    <w:p w14:paraId="31257D3A" w14:textId="724070D4" w:rsidR="0044231B" w:rsidRPr="005C6F79" w:rsidRDefault="0044231B" w:rsidP="004E176A">
      <w:pPr>
        <w:pStyle w:val="FootnoteText"/>
        <w:jc w:val="both"/>
      </w:pPr>
      <w:r w:rsidRPr="005C6F79">
        <w:rPr>
          <w:rStyle w:val="FootnoteReference"/>
        </w:rPr>
        <w:footnoteRef/>
      </w:r>
      <w:r w:rsidRPr="005C6F79">
        <w:t xml:space="preserve"> See Pfizer Specialities Ltd v. Chyzob Pharmacy Ltd (2008) ALL FWLR (Pt.414) 1455 at 148</w:t>
      </w:r>
    </w:p>
  </w:footnote>
  <w:footnote w:id="26">
    <w:p w14:paraId="5E86CD19" w14:textId="62C636C0" w:rsidR="005C6F79" w:rsidRPr="005C6F79" w:rsidRDefault="005C6F79" w:rsidP="004E176A">
      <w:pPr>
        <w:pStyle w:val="FootnoteText"/>
        <w:jc w:val="both"/>
      </w:pPr>
      <w:r w:rsidRPr="005C6F79">
        <w:rPr>
          <w:rStyle w:val="FootnoteReference"/>
        </w:rPr>
        <w:footnoteRef/>
      </w:r>
      <w:r w:rsidRPr="005C6F79">
        <w:t xml:space="preserve"> Section 1(1) of the Copyright Act listed as part of the works that are copyrightable, “literary works”.  Section 39(1) lists as Item (e) “computer programmes”  under “literary work” . Similarly,  “computer programme” is defined as a set of statements or instructions to be used directly or indirectly in a computer in order to bring about a certain result”.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6DF8"/>
    <w:multiLevelType w:val="hybridMultilevel"/>
    <w:tmpl w:val="DC4E5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3233F3"/>
    <w:multiLevelType w:val="hybridMultilevel"/>
    <w:tmpl w:val="4F304260"/>
    <w:lvl w:ilvl="0" w:tplc="2A86DD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CA3183"/>
    <w:multiLevelType w:val="hybridMultilevel"/>
    <w:tmpl w:val="800EFBEE"/>
    <w:lvl w:ilvl="0" w:tplc="2E6A005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9B545C0"/>
    <w:multiLevelType w:val="hybridMultilevel"/>
    <w:tmpl w:val="D7A44908"/>
    <w:lvl w:ilvl="0" w:tplc="E82A53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E3C"/>
    <w:rsid w:val="000023BD"/>
    <w:rsid w:val="000171C2"/>
    <w:rsid w:val="00040051"/>
    <w:rsid w:val="00045265"/>
    <w:rsid w:val="00056438"/>
    <w:rsid w:val="0007343F"/>
    <w:rsid w:val="000928E7"/>
    <w:rsid w:val="000A792E"/>
    <w:rsid w:val="000B1934"/>
    <w:rsid w:val="000B609E"/>
    <w:rsid w:val="000C0116"/>
    <w:rsid w:val="000E2DC0"/>
    <w:rsid w:val="000E4BF0"/>
    <w:rsid w:val="000E5B6D"/>
    <w:rsid w:val="0012180D"/>
    <w:rsid w:val="001255F9"/>
    <w:rsid w:val="001374AD"/>
    <w:rsid w:val="001A0E91"/>
    <w:rsid w:val="001A370E"/>
    <w:rsid w:val="001B53B7"/>
    <w:rsid w:val="002330F3"/>
    <w:rsid w:val="002342C4"/>
    <w:rsid w:val="002351C0"/>
    <w:rsid w:val="00250BD9"/>
    <w:rsid w:val="002705DB"/>
    <w:rsid w:val="002767B9"/>
    <w:rsid w:val="002A7800"/>
    <w:rsid w:val="002B7119"/>
    <w:rsid w:val="002E3D90"/>
    <w:rsid w:val="002E443A"/>
    <w:rsid w:val="00373D86"/>
    <w:rsid w:val="00386467"/>
    <w:rsid w:val="003B5F19"/>
    <w:rsid w:val="003C3A42"/>
    <w:rsid w:val="003C514F"/>
    <w:rsid w:val="003D7176"/>
    <w:rsid w:val="004221B2"/>
    <w:rsid w:val="004305C4"/>
    <w:rsid w:val="004352AB"/>
    <w:rsid w:val="0044231B"/>
    <w:rsid w:val="00442B10"/>
    <w:rsid w:val="00465EF9"/>
    <w:rsid w:val="004926CC"/>
    <w:rsid w:val="00496042"/>
    <w:rsid w:val="0049773E"/>
    <w:rsid w:val="004A5CDF"/>
    <w:rsid w:val="004C169A"/>
    <w:rsid w:val="004C3880"/>
    <w:rsid w:val="004D1953"/>
    <w:rsid w:val="004D432B"/>
    <w:rsid w:val="004D661C"/>
    <w:rsid w:val="004E176A"/>
    <w:rsid w:val="00530D27"/>
    <w:rsid w:val="005376BF"/>
    <w:rsid w:val="005456FC"/>
    <w:rsid w:val="00557D70"/>
    <w:rsid w:val="005A7B70"/>
    <w:rsid w:val="005B2D22"/>
    <w:rsid w:val="005B4A02"/>
    <w:rsid w:val="005B4FBB"/>
    <w:rsid w:val="005C6F79"/>
    <w:rsid w:val="005D6CE7"/>
    <w:rsid w:val="006053A3"/>
    <w:rsid w:val="00612B85"/>
    <w:rsid w:val="00620160"/>
    <w:rsid w:val="00633680"/>
    <w:rsid w:val="00636CEE"/>
    <w:rsid w:val="00643A7D"/>
    <w:rsid w:val="006A169C"/>
    <w:rsid w:val="006B1387"/>
    <w:rsid w:val="006E0280"/>
    <w:rsid w:val="00706781"/>
    <w:rsid w:val="00737E21"/>
    <w:rsid w:val="007556B7"/>
    <w:rsid w:val="00763CE0"/>
    <w:rsid w:val="00764CF2"/>
    <w:rsid w:val="00781A07"/>
    <w:rsid w:val="00783331"/>
    <w:rsid w:val="007961F5"/>
    <w:rsid w:val="007A7368"/>
    <w:rsid w:val="007C0E50"/>
    <w:rsid w:val="00807067"/>
    <w:rsid w:val="00811EB5"/>
    <w:rsid w:val="00822C3B"/>
    <w:rsid w:val="0085075A"/>
    <w:rsid w:val="00854659"/>
    <w:rsid w:val="0085525A"/>
    <w:rsid w:val="00886881"/>
    <w:rsid w:val="008D3E64"/>
    <w:rsid w:val="00903123"/>
    <w:rsid w:val="00911F43"/>
    <w:rsid w:val="0095217C"/>
    <w:rsid w:val="009639BC"/>
    <w:rsid w:val="00964887"/>
    <w:rsid w:val="00983311"/>
    <w:rsid w:val="00996125"/>
    <w:rsid w:val="009A79CD"/>
    <w:rsid w:val="009C436C"/>
    <w:rsid w:val="00A05402"/>
    <w:rsid w:val="00A52051"/>
    <w:rsid w:val="00A67C8A"/>
    <w:rsid w:val="00AF7D23"/>
    <w:rsid w:val="00B0278B"/>
    <w:rsid w:val="00B1637D"/>
    <w:rsid w:val="00B30C19"/>
    <w:rsid w:val="00B31C86"/>
    <w:rsid w:val="00B3466F"/>
    <w:rsid w:val="00B4560D"/>
    <w:rsid w:val="00B7412D"/>
    <w:rsid w:val="00B8679A"/>
    <w:rsid w:val="00BA2040"/>
    <w:rsid w:val="00BB14D3"/>
    <w:rsid w:val="00BC176E"/>
    <w:rsid w:val="00BF2F1A"/>
    <w:rsid w:val="00C26471"/>
    <w:rsid w:val="00C52F46"/>
    <w:rsid w:val="00C551C1"/>
    <w:rsid w:val="00C63A13"/>
    <w:rsid w:val="00C74642"/>
    <w:rsid w:val="00CC00AA"/>
    <w:rsid w:val="00CC43E4"/>
    <w:rsid w:val="00D01F1C"/>
    <w:rsid w:val="00D06BC6"/>
    <w:rsid w:val="00D2256F"/>
    <w:rsid w:val="00D2346A"/>
    <w:rsid w:val="00D25F12"/>
    <w:rsid w:val="00D45B9E"/>
    <w:rsid w:val="00D479C1"/>
    <w:rsid w:val="00D85BD4"/>
    <w:rsid w:val="00D86D20"/>
    <w:rsid w:val="00D93E80"/>
    <w:rsid w:val="00D94A14"/>
    <w:rsid w:val="00DB37C8"/>
    <w:rsid w:val="00DD3222"/>
    <w:rsid w:val="00DE0103"/>
    <w:rsid w:val="00DE1887"/>
    <w:rsid w:val="00DF7D89"/>
    <w:rsid w:val="00E014F5"/>
    <w:rsid w:val="00E029F5"/>
    <w:rsid w:val="00E25DF1"/>
    <w:rsid w:val="00E32066"/>
    <w:rsid w:val="00E358DC"/>
    <w:rsid w:val="00E4101B"/>
    <w:rsid w:val="00E44E3C"/>
    <w:rsid w:val="00E852C6"/>
    <w:rsid w:val="00E8710B"/>
    <w:rsid w:val="00EC39CA"/>
    <w:rsid w:val="00ED572D"/>
    <w:rsid w:val="00EF00CE"/>
    <w:rsid w:val="00F074CB"/>
    <w:rsid w:val="00F465B6"/>
    <w:rsid w:val="00F6248A"/>
    <w:rsid w:val="00F841AD"/>
    <w:rsid w:val="00FB599F"/>
    <w:rsid w:val="00FC0B11"/>
    <w:rsid w:val="00FC1045"/>
    <w:rsid w:val="00FC14D3"/>
    <w:rsid w:val="00FD4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B8B13"/>
  <w15:chartTrackingRefBased/>
  <w15:docId w15:val="{61ABEE9F-39EE-4121-B14F-BF3BEE72B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7368"/>
    <w:pPr>
      <w:spacing w:after="0" w:line="240" w:lineRule="auto"/>
    </w:pPr>
  </w:style>
  <w:style w:type="paragraph" w:styleId="ListParagraph">
    <w:name w:val="List Paragraph"/>
    <w:basedOn w:val="Normal"/>
    <w:uiPriority w:val="34"/>
    <w:qFormat/>
    <w:rsid w:val="001A370E"/>
    <w:pPr>
      <w:ind w:left="720"/>
      <w:contextualSpacing/>
    </w:pPr>
  </w:style>
  <w:style w:type="paragraph" w:styleId="FootnoteText">
    <w:name w:val="footnote text"/>
    <w:basedOn w:val="Normal"/>
    <w:link w:val="FootnoteTextChar"/>
    <w:uiPriority w:val="99"/>
    <w:semiHidden/>
    <w:unhideWhenUsed/>
    <w:rsid w:val="002705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05DB"/>
    <w:rPr>
      <w:sz w:val="20"/>
      <w:szCs w:val="20"/>
    </w:rPr>
  </w:style>
  <w:style w:type="character" w:styleId="FootnoteReference">
    <w:name w:val="footnote reference"/>
    <w:basedOn w:val="DefaultParagraphFont"/>
    <w:uiPriority w:val="99"/>
    <w:semiHidden/>
    <w:unhideWhenUsed/>
    <w:rsid w:val="002705DB"/>
    <w:rPr>
      <w:vertAlign w:val="superscript"/>
    </w:rPr>
  </w:style>
  <w:style w:type="character" w:styleId="Hyperlink">
    <w:name w:val="Hyperlink"/>
    <w:basedOn w:val="DefaultParagraphFont"/>
    <w:uiPriority w:val="99"/>
    <w:unhideWhenUsed/>
    <w:rsid w:val="0007343F"/>
    <w:rPr>
      <w:color w:val="0563C1" w:themeColor="hyperlink"/>
      <w:u w:val="single"/>
    </w:rPr>
  </w:style>
  <w:style w:type="character" w:styleId="UnresolvedMention">
    <w:name w:val="Unresolved Mention"/>
    <w:basedOn w:val="DefaultParagraphFont"/>
    <w:uiPriority w:val="99"/>
    <w:semiHidden/>
    <w:unhideWhenUsed/>
    <w:rsid w:val="0007343F"/>
    <w:rPr>
      <w:color w:val="605E5C"/>
      <w:shd w:val="clear" w:color="auto" w:fill="E1DFDD"/>
    </w:rPr>
  </w:style>
  <w:style w:type="paragraph" w:styleId="EndnoteText">
    <w:name w:val="endnote text"/>
    <w:basedOn w:val="Normal"/>
    <w:link w:val="EndnoteTextChar"/>
    <w:uiPriority w:val="99"/>
    <w:semiHidden/>
    <w:unhideWhenUsed/>
    <w:rsid w:val="00DB37C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B37C8"/>
    <w:rPr>
      <w:sz w:val="20"/>
      <w:szCs w:val="20"/>
    </w:rPr>
  </w:style>
  <w:style w:type="character" w:styleId="EndnoteReference">
    <w:name w:val="endnote reference"/>
    <w:basedOn w:val="DefaultParagraphFont"/>
    <w:uiPriority w:val="99"/>
    <w:semiHidden/>
    <w:unhideWhenUsed/>
    <w:rsid w:val="00DB37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190140">
      <w:bodyDiv w:val="1"/>
      <w:marLeft w:val="0"/>
      <w:marRight w:val="0"/>
      <w:marTop w:val="0"/>
      <w:marBottom w:val="0"/>
      <w:divBdr>
        <w:top w:val="none" w:sz="0" w:space="0" w:color="auto"/>
        <w:left w:val="none" w:sz="0" w:space="0" w:color="auto"/>
        <w:bottom w:val="none" w:sz="0" w:space="0" w:color="auto"/>
        <w:right w:val="none" w:sz="0" w:space="0" w:color="auto"/>
      </w:divBdr>
      <w:divsChild>
        <w:div w:id="1333870397">
          <w:marLeft w:val="360"/>
          <w:marRight w:val="0"/>
          <w:marTop w:val="200"/>
          <w:marBottom w:val="0"/>
          <w:divBdr>
            <w:top w:val="none" w:sz="0" w:space="0" w:color="auto"/>
            <w:left w:val="none" w:sz="0" w:space="0" w:color="auto"/>
            <w:bottom w:val="none" w:sz="0" w:space="0" w:color="auto"/>
            <w:right w:val="none" w:sz="0" w:space="0" w:color="auto"/>
          </w:divBdr>
        </w:div>
        <w:div w:id="1928036211">
          <w:marLeft w:val="360"/>
          <w:marRight w:val="0"/>
          <w:marTop w:val="200"/>
          <w:marBottom w:val="0"/>
          <w:divBdr>
            <w:top w:val="none" w:sz="0" w:space="0" w:color="auto"/>
            <w:left w:val="none" w:sz="0" w:space="0" w:color="auto"/>
            <w:bottom w:val="none" w:sz="0" w:space="0" w:color="auto"/>
            <w:right w:val="none" w:sz="0" w:space="0" w:color="auto"/>
          </w:divBdr>
        </w:div>
        <w:div w:id="283192409">
          <w:marLeft w:val="360"/>
          <w:marRight w:val="0"/>
          <w:marTop w:val="200"/>
          <w:marBottom w:val="0"/>
          <w:divBdr>
            <w:top w:val="none" w:sz="0" w:space="0" w:color="auto"/>
            <w:left w:val="none" w:sz="0" w:space="0" w:color="auto"/>
            <w:bottom w:val="none" w:sz="0" w:space="0" w:color="auto"/>
            <w:right w:val="none" w:sz="0" w:space="0" w:color="auto"/>
          </w:divBdr>
        </w:div>
        <w:div w:id="1412267114">
          <w:marLeft w:val="360"/>
          <w:marRight w:val="0"/>
          <w:marTop w:val="200"/>
          <w:marBottom w:val="0"/>
          <w:divBdr>
            <w:top w:val="none" w:sz="0" w:space="0" w:color="auto"/>
            <w:left w:val="none" w:sz="0" w:space="0" w:color="auto"/>
            <w:bottom w:val="none" w:sz="0" w:space="0" w:color="auto"/>
            <w:right w:val="none" w:sz="0" w:space="0" w:color="auto"/>
          </w:divBdr>
        </w:div>
      </w:divsChild>
    </w:div>
    <w:div w:id="989871016">
      <w:bodyDiv w:val="1"/>
      <w:marLeft w:val="0"/>
      <w:marRight w:val="0"/>
      <w:marTop w:val="0"/>
      <w:marBottom w:val="0"/>
      <w:divBdr>
        <w:top w:val="none" w:sz="0" w:space="0" w:color="auto"/>
        <w:left w:val="none" w:sz="0" w:space="0" w:color="auto"/>
        <w:bottom w:val="none" w:sz="0" w:space="0" w:color="auto"/>
        <w:right w:val="none" w:sz="0" w:space="0" w:color="auto"/>
      </w:divBdr>
    </w:div>
    <w:div w:id="1903565035">
      <w:bodyDiv w:val="1"/>
      <w:marLeft w:val="0"/>
      <w:marRight w:val="0"/>
      <w:marTop w:val="0"/>
      <w:marBottom w:val="0"/>
      <w:divBdr>
        <w:top w:val="none" w:sz="0" w:space="0" w:color="auto"/>
        <w:left w:val="none" w:sz="0" w:space="0" w:color="auto"/>
        <w:bottom w:val="none" w:sz="0" w:space="0" w:color="auto"/>
        <w:right w:val="none" w:sz="0" w:space="0" w:color="auto"/>
      </w:divBdr>
      <w:divsChild>
        <w:div w:id="140856529">
          <w:marLeft w:val="360"/>
          <w:marRight w:val="0"/>
          <w:marTop w:val="200"/>
          <w:marBottom w:val="0"/>
          <w:divBdr>
            <w:top w:val="none" w:sz="0" w:space="0" w:color="auto"/>
            <w:left w:val="none" w:sz="0" w:space="0" w:color="auto"/>
            <w:bottom w:val="none" w:sz="0" w:space="0" w:color="auto"/>
            <w:right w:val="none" w:sz="0" w:space="0" w:color="auto"/>
          </w:divBdr>
        </w:div>
        <w:div w:id="699824020">
          <w:marLeft w:val="360"/>
          <w:marRight w:val="0"/>
          <w:marTop w:val="200"/>
          <w:marBottom w:val="0"/>
          <w:divBdr>
            <w:top w:val="none" w:sz="0" w:space="0" w:color="auto"/>
            <w:left w:val="none" w:sz="0" w:space="0" w:color="auto"/>
            <w:bottom w:val="none" w:sz="0" w:space="0" w:color="auto"/>
            <w:right w:val="none" w:sz="0" w:space="0" w:color="auto"/>
          </w:divBdr>
        </w:div>
        <w:div w:id="569921295">
          <w:marLeft w:val="360"/>
          <w:marRight w:val="0"/>
          <w:marTop w:val="200"/>
          <w:marBottom w:val="0"/>
          <w:divBdr>
            <w:top w:val="none" w:sz="0" w:space="0" w:color="auto"/>
            <w:left w:val="none" w:sz="0" w:space="0" w:color="auto"/>
            <w:bottom w:val="none" w:sz="0" w:space="0" w:color="auto"/>
            <w:right w:val="none" w:sz="0" w:space="0" w:color="auto"/>
          </w:divBdr>
        </w:div>
        <w:div w:id="1464730700">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forbes.com/sites/forbestechcouncil/2020/05/19/how-api-copyright-cases-could-hurt-the-software-sector/?sh=2744771573ce" TargetMode="External"/><Relationship Id="rId2" Type="http://schemas.openxmlformats.org/officeDocument/2006/relationships/hyperlink" Target="https://www.mondaq.com/nigeria/trademark/830390/intellectual-property-protection-for-software-rights-in-nigeria" TargetMode="External"/><Relationship Id="rId1" Type="http://schemas.openxmlformats.org/officeDocument/2006/relationships/hyperlink" Target="https://www.supremecourt.gov/opinions/20pdf/18-956_d18f.pdf" TargetMode="External"/><Relationship Id="rId4" Type="http://schemas.openxmlformats.org/officeDocument/2006/relationships/hyperlink" Target="https://www.forbes.com/sites/forbestechcouncil/2020/05/19/how-api-copyright-cases-could-hurt-the-software-sector/?sh=387efe0573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2954</Words>
  <Characters>16840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Qudus  Adeoye</dc:creator>
  <cp:keywords/>
  <dc:description/>
  <cp:lastModifiedBy>QA</cp:lastModifiedBy>
  <cp:revision>5</cp:revision>
  <dcterms:created xsi:type="dcterms:W3CDTF">2021-06-18T10:04:00Z</dcterms:created>
  <dcterms:modified xsi:type="dcterms:W3CDTF">2021-06-18T10:04:00Z</dcterms:modified>
</cp:coreProperties>
</file>